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82AA6" w14:textId="77777777" w:rsidR="00475E4F" w:rsidRDefault="00475E4F" w:rsidP="000B7C05">
      <w:pPr>
        <w:spacing w:after="0" w:line="240" w:lineRule="auto"/>
        <w:jc w:val="center"/>
        <w:rPr>
          <w:b/>
          <w:sz w:val="32"/>
          <w:szCs w:val="32"/>
        </w:rPr>
      </w:pPr>
    </w:p>
    <w:p w14:paraId="2529146C" w14:textId="4D166F6A" w:rsidR="005528D5" w:rsidRPr="005528D5" w:rsidRDefault="005528D5" w:rsidP="005528D5">
      <w:pPr>
        <w:spacing w:after="0" w:line="240" w:lineRule="auto"/>
        <w:jc w:val="center"/>
        <w:rPr>
          <w:rFonts w:asciiTheme="majorHAnsi" w:hAnsiTheme="majorHAnsi"/>
          <w:b/>
          <w:sz w:val="36"/>
          <w:szCs w:val="36"/>
        </w:rPr>
      </w:pPr>
      <w:r w:rsidRPr="005528D5">
        <w:rPr>
          <w:rFonts w:asciiTheme="majorHAnsi" w:hAnsiTheme="majorHAnsi"/>
          <w:b/>
          <w:sz w:val="36"/>
          <w:szCs w:val="36"/>
        </w:rPr>
        <w:t xml:space="preserve">Informationen </w:t>
      </w:r>
      <w:r w:rsidR="002C2153">
        <w:rPr>
          <w:rFonts w:asciiTheme="majorHAnsi" w:hAnsiTheme="majorHAnsi"/>
          <w:b/>
          <w:sz w:val="36"/>
          <w:szCs w:val="36"/>
        </w:rPr>
        <w:t xml:space="preserve">nach FIDLEG </w:t>
      </w:r>
      <w:r w:rsidRPr="005528D5">
        <w:rPr>
          <w:rFonts w:asciiTheme="majorHAnsi" w:hAnsiTheme="majorHAnsi"/>
          <w:b/>
          <w:sz w:val="36"/>
          <w:szCs w:val="36"/>
        </w:rPr>
        <w:t xml:space="preserve">über die </w:t>
      </w:r>
      <w:r w:rsidR="002C2153" w:rsidRPr="005528D5">
        <w:rPr>
          <w:rFonts w:asciiTheme="majorHAnsi" w:hAnsiTheme="majorHAnsi"/>
          <w:b/>
          <w:sz w:val="36"/>
          <w:szCs w:val="36"/>
        </w:rPr>
        <w:t xml:space="preserve">Martellus Capital AG </w:t>
      </w:r>
      <w:r w:rsidR="002C2153">
        <w:rPr>
          <w:rFonts w:asciiTheme="majorHAnsi" w:hAnsiTheme="majorHAnsi"/>
          <w:b/>
          <w:sz w:val="36"/>
          <w:szCs w:val="36"/>
        </w:rPr>
        <w:t xml:space="preserve">und von ihr angebotene </w:t>
      </w:r>
      <w:r w:rsidRPr="005528D5">
        <w:rPr>
          <w:rFonts w:asciiTheme="majorHAnsi" w:hAnsiTheme="majorHAnsi"/>
          <w:b/>
          <w:sz w:val="36"/>
          <w:szCs w:val="36"/>
        </w:rPr>
        <w:t xml:space="preserve">Finanzdienstleistungen </w:t>
      </w:r>
    </w:p>
    <w:p w14:paraId="34013F36" w14:textId="6CECA22C" w:rsidR="005528D5" w:rsidRPr="005528D5" w:rsidRDefault="005528D5" w:rsidP="005528D5">
      <w:pPr>
        <w:spacing w:after="0" w:line="240" w:lineRule="auto"/>
        <w:jc w:val="center"/>
        <w:rPr>
          <w:rFonts w:asciiTheme="majorHAnsi" w:hAnsiTheme="majorHAnsi"/>
          <w:b/>
          <w:sz w:val="36"/>
          <w:szCs w:val="36"/>
        </w:rPr>
      </w:pPr>
    </w:p>
    <w:p w14:paraId="2EE2DB80" w14:textId="77777777" w:rsidR="005528D5" w:rsidRDefault="005528D5" w:rsidP="005528D5">
      <w:pPr>
        <w:spacing w:after="0" w:line="240" w:lineRule="auto"/>
        <w:jc w:val="center"/>
        <w:rPr>
          <w:b/>
          <w:sz w:val="36"/>
          <w:szCs w:val="36"/>
        </w:rPr>
      </w:pPr>
    </w:p>
    <w:p w14:paraId="500B9205" w14:textId="77777777" w:rsidR="005528D5" w:rsidRPr="005528D5" w:rsidRDefault="005528D5" w:rsidP="005528D5">
      <w:pPr>
        <w:spacing w:after="0" w:line="240" w:lineRule="auto"/>
        <w:jc w:val="center"/>
        <w:rPr>
          <w:b/>
          <w:sz w:val="36"/>
          <w:szCs w:val="36"/>
        </w:rPr>
      </w:pPr>
    </w:p>
    <w:p w14:paraId="66ED9F75" w14:textId="77777777" w:rsidR="005528D5" w:rsidRPr="005528D5" w:rsidRDefault="005528D5" w:rsidP="005528D5">
      <w:pPr>
        <w:spacing w:after="0" w:line="240" w:lineRule="auto"/>
        <w:jc w:val="center"/>
        <w:rPr>
          <w:b/>
          <w:sz w:val="36"/>
          <w:szCs w:val="36"/>
        </w:rPr>
      </w:pPr>
    </w:p>
    <w:p w14:paraId="5B2DE9E7" w14:textId="6624E541" w:rsidR="005528D5" w:rsidRPr="00C06493" w:rsidRDefault="005528D5" w:rsidP="00780C84">
      <w:pPr>
        <w:jc w:val="both"/>
        <w:rPr>
          <w:rFonts w:asciiTheme="majorHAnsi" w:hAnsiTheme="majorHAnsi" w:cs="Arial"/>
          <w:sz w:val="24"/>
          <w:szCs w:val="24"/>
          <w:lang w:eastAsia="de-CH"/>
        </w:rPr>
      </w:pPr>
      <w:bookmarkStart w:id="0" w:name="_Hlk63778580"/>
      <w:r w:rsidRPr="00C06493">
        <w:rPr>
          <w:rFonts w:asciiTheme="majorHAnsi" w:hAnsiTheme="majorHAnsi" w:cs="Arial"/>
          <w:sz w:val="24"/>
          <w:szCs w:val="24"/>
          <w:lang w:eastAsia="de-CH"/>
        </w:rPr>
        <w:t xml:space="preserve">Mit dieser Informationsbroschüre informieren wir Sie </w:t>
      </w:r>
      <w:r w:rsidR="002C2153">
        <w:rPr>
          <w:rFonts w:asciiTheme="majorHAnsi" w:hAnsiTheme="majorHAnsi" w:cs="Arial"/>
          <w:sz w:val="24"/>
          <w:szCs w:val="24"/>
          <w:lang w:eastAsia="de-CH"/>
        </w:rPr>
        <w:t xml:space="preserve">im Rahmen unserer gesetzlichen Pflichten </w:t>
      </w:r>
      <w:r w:rsidRPr="00C06493">
        <w:rPr>
          <w:rFonts w:asciiTheme="majorHAnsi" w:hAnsiTheme="majorHAnsi" w:cs="Arial"/>
          <w:sz w:val="24"/>
          <w:szCs w:val="24"/>
          <w:lang w:eastAsia="de-CH"/>
        </w:rPr>
        <w:t>über die Martellus Capital AG</w:t>
      </w:r>
      <w:r w:rsidRPr="00C06493">
        <w:rPr>
          <w:rFonts w:asciiTheme="majorHAnsi" w:hAnsiTheme="majorHAnsi" w:cs="Arial"/>
          <w:color w:val="FF0000"/>
          <w:sz w:val="24"/>
          <w:szCs w:val="24"/>
          <w:lang w:eastAsia="de-CH"/>
        </w:rPr>
        <w:t xml:space="preserve"> </w:t>
      </w:r>
      <w:r w:rsidRPr="00C06493">
        <w:rPr>
          <w:rFonts w:asciiTheme="majorHAnsi" w:hAnsiTheme="majorHAnsi" w:cs="Arial"/>
          <w:sz w:val="24"/>
          <w:szCs w:val="24"/>
          <w:lang w:eastAsia="de-CH"/>
        </w:rPr>
        <w:t>(nachfolgend «</w:t>
      </w:r>
      <w:r w:rsidR="002C661F" w:rsidRPr="00C06493">
        <w:rPr>
          <w:smallCaps/>
        </w:rPr>
        <w:t>Gesellschaft</w:t>
      </w:r>
      <w:r w:rsidRPr="00C06493">
        <w:rPr>
          <w:rFonts w:asciiTheme="majorHAnsi" w:hAnsiTheme="majorHAnsi" w:cs="Arial"/>
          <w:sz w:val="24"/>
          <w:szCs w:val="24"/>
          <w:lang w:eastAsia="de-CH"/>
        </w:rPr>
        <w:t xml:space="preserve">» </w:t>
      </w:r>
      <w:r w:rsidR="002C2153">
        <w:rPr>
          <w:rFonts w:asciiTheme="majorHAnsi" w:hAnsiTheme="majorHAnsi" w:cs="Arial"/>
          <w:sz w:val="24"/>
          <w:szCs w:val="24"/>
          <w:lang w:eastAsia="de-CH"/>
        </w:rPr>
        <w:t>oder «</w:t>
      </w:r>
      <w:r w:rsidR="002C2153" w:rsidRPr="00075594">
        <w:rPr>
          <w:smallCaps/>
        </w:rPr>
        <w:t>wir</w:t>
      </w:r>
      <w:r w:rsidR="002C2153">
        <w:rPr>
          <w:smallCaps/>
        </w:rPr>
        <w:t xml:space="preserve"> / uns</w:t>
      </w:r>
      <w:r w:rsidR="002C2153">
        <w:rPr>
          <w:rFonts w:asciiTheme="majorHAnsi" w:hAnsiTheme="majorHAnsi" w:cs="Arial"/>
          <w:sz w:val="24"/>
          <w:szCs w:val="24"/>
          <w:lang w:eastAsia="de-CH"/>
        </w:rPr>
        <w:t xml:space="preserve">» </w:t>
      </w:r>
      <w:r w:rsidR="00075594">
        <w:rPr>
          <w:rFonts w:asciiTheme="majorHAnsi" w:hAnsiTheme="majorHAnsi" w:cs="Arial"/>
          <w:sz w:val="24"/>
          <w:szCs w:val="24"/>
          <w:lang w:eastAsia="de-CH"/>
        </w:rPr>
        <w:t xml:space="preserve">genannt), </w:t>
      </w:r>
      <w:r w:rsidR="002C2153">
        <w:rPr>
          <w:rFonts w:asciiTheme="majorHAnsi" w:hAnsiTheme="majorHAnsi" w:cs="Arial"/>
          <w:sz w:val="24"/>
          <w:szCs w:val="24"/>
          <w:lang w:eastAsia="de-CH"/>
        </w:rPr>
        <w:t>die von uns</w:t>
      </w:r>
      <w:r w:rsidR="002C2153" w:rsidRPr="00C06493">
        <w:rPr>
          <w:rFonts w:asciiTheme="majorHAnsi" w:hAnsiTheme="majorHAnsi" w:cs="Arial"/>
          <w:sz w:val="24"/>
          <w:szCs w:val="24"/>
          <w:lang w:eastAsia="de-CH"/>
        </w:rPr>
        <w:t xml:space="preserve"> </w:t>
      </w:r>
      <w:r w:rsidRPr="00C06493">
        <w:rPr>
          <w:rFonts w:asciiTheme="majorHAnsi" w:hAnsiTheme="majorHAnsi" w:cs="Arial"/>
          <w:sz w:val="24"/>
          <w:szCs w:val="24"/>
          <w:lang w:eastAsia="de-CH"/>
        </w:rPr>
        <w:t>angebotenen Finanzdienstleistungen und damit verbundenen Risike</w:t>
      </w:r>
      <w:r w:rsidR="00075594">
        <w:rPr>
          <w:rFonts w:asciiTheme="majorHAnsi" w:hAnsiTheme="majorHAnsi" w:cs="Arial"/>
          <w:sz w:val="24"/>
          <w:szCs w:val="24"/>
          <w:lang w:eastAsia="de-CH"/>
        </w:rPr>
        <w:t>n</w:t>
      </w:r>
      <w:r w:rsidRPr="00C06493">
        <w:rPr>
          <w:rFonts w:asciiTheme="majorHAnsi" w:hAnsiTheme="majorHAnsi" w:cs="Arial"/>
          <w:sz w:val="24"/>
          <w:szCs w:val="24"/>
          <w:lang w:eastAsia="de-CH"/>
        </w:rPr>
        <w:t xml:space="preserve">, </w:t>
      </w:r>
      <w:r w:rsidR="002C2153">
        <w:rPr>
          <w:rFonts w:asciiTheme="majorHAnsi" w:hAnsiTheme="majorHAnsi" w:cs="Arial"/>
          <w:sz w:val="24"/>
          <w:szCs w:val="24"/>
          <w:lang w:eastAsia="de-CH"/>
        </w:rPr>
        <w:t>unseren</w:t>
      </w:r>
      <w:r w:rsidR="002C2153" w:rsidRPr="00C06493">
        <w:rPr>
          <w:rFonts w:asciiTheme="majorHAnsi" w:hAnsiTheme="majorHAnsi" w:cs="Arial"/>
          <w:sz w:val="24"/>
          <w:szCs w:val="24"/>
          <w:lang w:eastAsia="de-CH"/>
        </w:rPr>
        <w:t xml:space="preserve"> </w:t>
      </w:r>
      <w:r w:rsidRPr="00C06493">
        <w:rPr>
          <w:rFonts w:asciiTheme="majorHAnsi" w:hAnsiTheme="majorHAnsi" w:cs="Arial"/>
          <w:sz w:val="24"/>
          <w:szCs w:val="24"/>
          <w:lang w:eastAsia="de-CH"/>
        </w:rPr>
        <w:t>Umgang mit Interessenkonflikten</w:t>
      </w:r>
      <w:r w:rsidR="002C2153">
        <w:rPr>
          <w:rFonts w:asciiTheme="majorHAnsi" w:hAnsiTheme="majorHAnsi" w:cs="Arial"/>
          <w:sz w:val="24"/>
          <w:szCs w:val="24"/>
          <w:lang w:eastAsia="de-CH"/>
        </w:rPr>
        <w:t>, die Grundsätze unserer Honorierung,</w:t>
      </w:r>
      <w:r w:rsidRPr="00C06493">
        <w:rPr>
          <w:rFonts w:asciiTheme="majorHAnsi" w:hAnsiTheme="majorHAnsi" w:cs="Arial"/>
          <w:sz w:val="24"/>
          <w:szCs w:val="24"/>
          <w:lang w:eastAsia="de-CH"/>
        </w:rPr>
        <w:t xml:space="preserve"> </w:t>
      </w:r>
      <w:r w:rsidR="002C2153">
        <w:rPr>
          <w:rFonts w:asciiTheme="majorHAnsi" w:hAnsiTheme="majorHAnsi" w:cs="Arial"/>
          <w:sz w:val="24"/>
          <w:szCs w:val="24"/>
          <w:lang w:eastAsia="de-CH"/>
        </w:rPr>
        <w:t>rechtliche Möglichkeiten unsere Kunden im Konfliktfall</w:t>
      </w:r>
      <w:r w:rsidR="002C2153" w:rsidRPr="00C06493">
        <w:rPr>
          <w:rFonts w:asciiTheme="majorHAnsi" w:hAnsiTheme="majorHAnsi" w:cs="Arial"/>
          <w:sz w:val="24"/>
          <w:szCs w:val="24"/>
          <w:lang w:eastAsia="de-CH"/>
        </w:rPr>
        <w:t xml:space="preserve"> </w:t>
      </w:r>
      <w:r w:rsidRPr="00C06493">
        <w:rPr>
          <w:rFonts w:asciiTheme="majorHAnsi" w:hAnsiTheme="majorHAnsi" w:cs="Arial"/>
          <w:sz w:val="24"/>
          <w:szCs w:val="24"/>
          <w:lang w:eastAsia="de-CH"/>
        </w:rPr>
        <w:t xml:space="preserve">sowie </w:t>
      </w:r>
      <w:r w:rsidR="002C2153">
        <w:rPr>
          <w:rFonts w:asciiTheme="majorHAnsi" w:hAnsiTheme="majorHAnsi" w:cs="Arial"/>
          <w:sz w:val="24"/>
          <w:szCs w:val="24"/>
          <w:lang w:eastAsia="de-CH"/>
        </w:rPr>
        <w:t>weitere wichtige Aspekte im Zusammenhang mit unserer Tätigkeit</w:t>
      </w:r>
      <w:r w:rsidRPr="00C06493">
        <w:rPr>
          <w:rFonts w:asciiTheme="majorHAnsi" w:hAnsiTheme="majorHAnsi" w:cs="Arial"/>
          <w:sz w:val="24"/>
          <w:szCs w:val="24"/>
          <w:lang w:eastAsia="de-CH"/>
        </w:rPr>
        <w:t>.</w:t>
      </w:r>
      <w:r w:rsidRPr="00C06493">
        <w:rPr>
          <w:rFonts w:asciiTheme="majorHAnsi" w:hAnsiTheme="majorHAnsi" w:cs="Arial"/>
          <w:color w:val="FF0000"/>
          <w:sz w:val="24"/>
          <w:szCs w:val="24"/>
          <w:lang w:eastAsia="de-CH"/>
        </w:rPr>
        <w:t xml:space="preserve"> </w:t>
      </w:r>
      <w:r w:rsidRPr="00C06493">
        <w:rPr>
          <w:rFonts w:asciiTheme="majorHAnsi" w:hAnsiTheme="majorHAnsi" w:cs="Arial"/>
          <w:sz w:val="24"/>
          <w:szCs w:val="24"/>
          <w:lang w:eastAsia="de-CH"/>
        </w:rPr>
        <w:t>Die Informationen in der vorliegenden Broschüre können sich von Zeit zu Zeit ändern.</w:t>
      </w:r>
      <w:r w:rsidRPr="00C06493">
        <w:rPr>
          <w:rFonts w:asciiTheme="majorHAnsi" w:hAnsiTheme="majorHAnsi" w:cs="Arial"/>
          <w:color w:val="FF0000"/>
          <w:sz w:val="24"/>
          <w:szCs w:val="24"/>
          <w:lang w:eastAsia="de-CH"/>
        </w:rPr>
        <w:t xml:space="preserve"> </w:t>
      </w:r>
      <w:r w:rsidRPr="00C06493">
        <w:rPr>
          <w:rFonts w:asciiTheme="majorHAnsi" w:hAnsiTheme="majorHAnsi" w:cs="Arial"/>
          <w:sz w:val="24"/>
          <w:szCs w:val="24"/>
          <w:lang w:eastAsia="de-CH"/>
        </w:rPr>
        <w:t xml:space="preserve">Die aktuelle Version dieser Broschüre können </w:t>
      </w:r>
      <w:r w:rsidR="002C2153">
        <w:rPr>
          <w:rFonts w:asciiTheme="majorHAnsi" w:hAnsiTheme="majorHAnsi" w:cs="Arial"/>
          <w:sz w:val="24"/>
          <w:szCs w:val="24"/>
          <w:lang w:eastAsia="de-CH"/>
        </w:rPr>
        <w:t>Sie über unsere Website elektronisch sowie</w:t>
      </w:r>
      <w:r w:rsidR="002C2153" w:rsidRPr="00C06493">
        <w:rPr>
          <w:rFonts w:asciiTheme="majorHAnsi" w:hAnsiTheme="majorHAnsi" w:cs="Arial"/>
          <w:sz w:val="24"/>
          <w:szCs w:val="24"/>
          <w:lang w:eastAsia="de-CH"/>
        </w:rPr>
        <w:t xml:space="preserve"> </w:t>
      </w:r>
      <w:r w:rsidRPr="00C06493">
        <w:rPr>
          <w:rFonts w:asciiTheme="majorHAnsi" w:hAnsiTheme="majorHAnsi" w:cs="Arial"/>
          <w:sz w:val="24"/>
          <w:szCs w:val="24"/>
          <w:lang w:eastAsia="de-CH"/>
        </w:rPr>
        <w:t>an unserer Geschäftsadresse physisch beziehen.</w:t>
      </w:r>
    </w:p>
    <w:p w14:paraId="395D34C7" w14:textId="64CEB183" w:rsidR="005528D5" w:rsidRPr="00C06493" w:rsidRDefault="002C2153" w:rsidP="00780C84">
      <w:pPr>
        <w:jc w:val="both"/>
        <w:rPr>
          <w:rFonts w:asciiTheme="majorHAnsi" w:hAnsiTheme="majorHAnsi" w:cs="Arial"/>
          <w:sz w:val="24"/>
          <w:szCs w:val="24"/>
          <w:lang w:eastAsia="de-CH"/>
        </w:rPr>
      </w:pPr>
      <w:r>
        <w:rPr>
          <w:rFonts w:asciiTheme="majorHAnsi" w:hAnsiTheme="majorHAnsi" w:cs="Arial"/>
          <w:sz w:val="24"/>
          <w:szCs w:val="24"/>
          <w:lang w:eastAsia="de-CH"/>
        </w:rPr>
        <w:t>Mit der</w:t>
      </w:r>
      <w:r w:rsidRPr="00C06493">
        <w:rPr>
          <w:rFonts w:asciiTheme="majorHAnsi" w:hAnsiTheme="majorHAnsi" w:cs="Arial"/>
          <w:sz w:val="24"/>
          <w:szCs w:val="24"/>
          <w:lang w:eastAsia="de-CH"/>
        </w:rPr>
        <w:t xml:space="preserve"> </w:t>
      </w:r>
      <w:r w:rsidR="005528D5" w:rsidRPr="00C06493">
        <w:rPr>
          <w:rFonts w:asciiTheme="majorHAnsi" w:hAnsiTheme="majorHAnsi" w:cs="Arial"/>
          <w:sz w:val="24"/>
          <w:szCs w:val="24"/>
          <w:lang w:eastAsia="de-CH"/>
        </w:rPr>
        <w:t>vorliegende</w:t>
      </w:r>
      <w:r>
        <w:rPr>
          <w:rFonts w:asciiTheme="majorHAnsi" w:hAnsiTheme="majorHAnsi" w:cs="Arial"/>
          <w:sz w:val="24"/>
          <w:szCs w:val="24"/>
          <w:lang w:eastAsia="de-CH"/>
        </w:rPr>
        <w:t>n</w:t>
      </w:r>
      <w:r w:rsidR="005528D5" w:rsidRPr="00C06493">
        <w:rPr>
          <w:rFonts w:asciiTheme="majorHAnsi" w:hAnsiTheme="majorHAnsi" w:cs="Arial"/>
          <w:sz w:val="24"/>
          <w:szCs w:val="24"/>
          <w:lang w:eastAsia="de-CH"/>
        </w:rPr>
        <w:t xml:space="preserve"> Broschüre </w:t>
      </w:r>
      <w:r w:rsidR="00075594">
        <w:rPr>
          <w:rFonts w:asciiTheme="majorHAnsi" w:hAnsiTheme="majorHAnsi" w:cs="Arial"/>
          <w:sz w:val="24"/>
          <w:szCs w:val="24"/>
          <w:lang w:eastAsia="de-CH"/>
        </w:rPr>
        <w:t xml:space="preserve">erfüllt </w:t>
      </w:r>
      <w:r>
        <w:rPr>
          <w:rFonts w:asciiTheme="majorHAnsi" w:hAnsiTheme="majorHAnsi" w:cs="Arial"/>
          <w:sz w:val="24"/>
          <w:szCs w:val="24"/>
          <w:lang w:eastAsia="de-CH"/>
        </w:rPr>
        <w:t>die Martellus Capital AG</w:t>
      </w:r>
      <w:r w:rsidRPr="00C06493">
        <w:rPr>
          <w:rFonts w:asciiTheme="majorHAnsi" w:hAnsiTheme="majorHAnsi" w:cs="Arial"/>
          <w:sz w:val="24"/>
          <w:szCs w:val="24"/>
          <w:lang w:eastAsia="de-CH"/>
        </w:rPr>
        <w:t xml:space="preserve"> </w:t>
      </w:r>
      <w:r>
        <w:rPr>
          <w:rFonts w:asciiTheme="majorHAnsi" w:hAnsiTheme="majorHAnsi" w:cs="Arial"/>
          <w:sz w:val="24"/>
          <w:szCs w:val="24"/>
          <w:lang w:eastAsia="de-CH"/>
        </w:rPr>
        <w:t>ihre</w:t>
      </w:r>
      <w:r w:rsidRPr="00C06493">
        <w:rPr>
          <w:rFonts w:asciiTheme="majorHAnsi" w:hAnsiTheme="majorHAnsi" w:cs="Arial"/>
          <w:sz w:val="24"/>
          <w:szCs w:val="24"/>
          <w:lang w:eastAsia="de-CH"/>
        </w:rPr>
        <w:t xml:space="preserve"> </w:t>
      </w:r>
      <w:r w:rsidR="005528D5" w:rsidRPr="00C06493">
        <w:rPr>
          <w:rFonts w:asciiTheme="majorHAnsi" w:hAnsiTheme="majorHAnsi" w:cs="Arial"/>
          <w:sz w:val="24"/>
          <w:szCs w:val="24"/>
          <w:lang w:eastAsia="de-CH"/>
        </w:rPr>
        <w:t xml:space="preserve">Informationspflichten gemäss dem Finanzdienstleistungsgesetz </w:t>
      </w:r>
      <w:r>
        <w:rPr>
          <w:rFonts w:asciiTheme="majorHAnsi" w:hAnsiTheme="majorHAnsi" w:cs="Arial"/>
          <w:sz w:val="24"/>
          <w:szCs w:val="24"/>
          <w:lang w:eastAsia="de-CH"/>
        </w:rPr>
        <w:t>(FIDLEG)</w:t>
      </w:r>
      <w:r w:rsidR="005528D5" w:rsidRPr="00C06493">
        <w:rPr>
          <w:rFonts w:asciiTheme="majorHAnsi" w:hAnsiTheme="majorHAnsi" w:cs="Arial"/>
          <w:sz w:val="24"/>
          <w:szCs w:val="24"/>
          <w:lang w:eastAsia="de-CH"/>
        </w:rPr>
        <w:t xml:space="preserve">. </w:t>
      </w:r>
      <w:r>
        <w:rPr>
          <w:rFonts w:asciiTheme="majorHAnsi" w:hAnsiTheme="majorHAnsi" w:cs="Arial"/>
          <w:sz w:val="24"/>
          <w:szCs w:val="24"/>
          <w:lang w:eastAsia="de-CH"/>
        </w:rPr>
        <w:t>Für</w:t>
      </w:r>
      <w:r w:rsidR="005528D5" w:rsidRPr="00C06493">
        <w:rPr>
          <w:rFonts w:asciiTheme="majorHAnsi" w:hAnsiTheme="majorHAnsi" w:cs="Arial"/>
          <w:sz w:val="24"/>
          <w:szCs w:val="24"/>
          <w:lang w:eastAsia="de-CH"/>
        </w:rPr>
        <w:t xml:space="preserve"> weitere Informationen wünschen stehen wir Ihnen gerne anlässlich eines persönlichen Gesprächs zur Verfügung.</w:t>
      </w:r>
    </w:p>
    <w:p w14:paraId="47BE7B01" w14:textId="77777777" w:rsidR="005528D5" w:rsidRPr="00C06493" w:rsidRDefault="005528D5" w:rsidP="00780C84">
      <w:pPr>
        <w:spacing w:after="0" w:line="240" w:lineRule="auto"/>
        <w:jc w:val="both"/>
        <w:rPr>
          <w:rFonts w:asciiTheme="majorHAnsi" w:hAnsiTheme="majorHAnsi"/>
          <w:b/>
          <w:sz w:val="24"/>
          <w:szCs w:val="24"/>
        </w:rPr>
      </w:pPr>
    </w:p>
    <w:p w14:paraId="71819E7E" w14:textId="77777777" w:rsidR="005528D5" w:rsidRPr="00463520" w:rsidRDefault="005528D5" w:rsidP="00780C84">
      <w:pPr>
        <w:spacing w:after="0" w:line="240" w:lineRule="auto"/>
        <w:jc w:val="both"/>
        <w:rPr>
          <w:rFonts w:asciiTheme="majorHAnsi" w:hAnsiTheme="majorHAnsi"/>
          <w:bCs/>
          <w:sz w:val="24"/>
          <w:szCs w:val="24"/>
        </w:rPr>
      </w:pPr>
      <w:r w:rsidRPr="00463520">
        <w:rPr>
          <w:rFonts w:asciiTheme="majorHAnsi" w:hAnsiTheme="majorHAnsi"/>
          <w:bCs/>
          <w:sz w:val="24"/>
          <w:szCs w:val="24"/>
        </w:rPr>
        <w:t>M</w:t>
      </w:r>
      <w:r w:rsidR="009361CC" w:rsidRPr="00463520">
        <w:rPr>
          <w:rFonts w:asciiTheme="majorHAnsi" w:hAnsiTheme="majorHAnsi"/>
          <w:bCs/>
          <w:sz w:val="24"/>
          <w:szCs w:val="24"/>
        </w:rPr>
        <w:t>ARTELLUS CAPITAL</w:t>
      </w:r>
    </w:p>
    <w:p w14:paraId="14AA2C68" w14:textId="77777777" w:rsidR="00463520" w:rsidRPr="00463520" w:rsidRDefault="00463520" w:rsidP="00780C84">
      <w:pPr>
        <w:spacing w:after="0" w:line="240" w:lineRule="auto"/>
        <w:jc w:val="both"/>
        <w:rPr>
          <w:rFonts w:asciiTheme="majorHAnsi" w:hAnsiTheme="majorHAnsi"/>
          <w:bCs/>
          <w:sz w:val="20"/>
          <w:szCs w:val="20"/>
        </w:rPr>
      </w:pPr>
      <w:r w:rsidRPr="00463520">
        <w:rPr>
          <w:rFonts w:asciiTheme="majorHAnsi" w:hAnsiTheme="majorHAnsi"/>
          <w:bCs/>
          <w:sz w:val="20"/>
          <w:szCs w:val="20"/>
        </w:rPr>
        <w:t xml:space="preserve">(Deckblatt ohne Unterschrift) </w:t>
      </w:r>
    </w:p>
    <w:p w14:paraId="5F764328" w14:textId="77777777" w:rsidR="005528D5" w:rsidRPr="005528D5" w:rsidRDefault="005528D5" w:rsidP="00780C84">
      <w:pPr>
        <w:spacing w:after="0" w:line="240" w:lineRule="auto"/>
        <w:jc w:val="both"/>
        <w:rPr>
          <w:rFonts w:asciiTheme="majorHAnsi" w:hAnsiTheme="majorHAnsi"/>
          <w:bCs/>
          <w:sz w:val="24"/>
          <w:szCs w:val="24"/>
        </w:rPr>
      </w:pPr>
    </w:p>
    <w:bookmarkEnd w:id="0"/>
    <w:p w14:paraId="56FB4A45" w14:textId="77777777" w:rsidR="005528D5" w:rsidRPr="005528D5" w:rsidRDefault="005528D5" w:rsidP="00780C84">
      <w:pPr>
        <w:spacing w:after="0" w:line="240" w:lineRule="auto"/>
        <w:jc w:val="both"/>
        <w:rPr>
          <w:rFonts w:asciiTheme="majorHAnsi" w:hAnsiTheme="majorHAnsi"/>
          <w:b/>
          <w:sz w:val="24"/>
          <w:szCs w:val="24"/>
        </w:rPr>
      </w:pPr>
    </w:p>
    <w:p w14:paraId="015D12C2" w14:textId="77777777" w:rsidR="00B44A5B" w:rsidRPr="005528D5" w:rsidRDefault="00B44A5B" w:rsidP="00780C84">
      <w:pPr>
        <w:spacing w:after="0" w:line="240" w:lineRule="auto"/>
        <w:jc w:val="both"/>
        <w:rPr>
          <w:rFonts w:asciiTheme="majorHAnsi" w:hAnsiTheme="majorHAnsi"/>
          <w:b/>
          <w:sz w:val="24"/>
          <w:szCs w:val="24"/>
        </w:rPr>
      </w:pPr>
    </w:p>
    <w:p w14:paraId="6AA56036" w14:textId="77777777" w:rsidR="00B44A5B" w:rsidRPr="005528D5" w:rsidRDefault="00B44A5B" w:rsidP="00780C84">
      <w:pPr>
        <w:spacing w:after="0" w:line="240" w:lineRule="auto"/>
        <w:jc w:val="both"/>
        <w:rPr>
          <w:rFonts w:asciiTheme="majorHAnsi" w:hAnsiTheme="majorHAnsi"/>
          <w:b/>
          <w:sz w:val="24"/>
          <w:szCs w:val="24"/>
        </w:rPr>
      </w:pPr>
    </w:p>
    <w:p w14:paraId="6568D93F" w14:textId="77777777" w:rsidR="00B44A5B" w:rsidRPr="005528D5" w:rsidRDefault="00B44A5B" w:rsidP="00780C84">
      <w:pPr>
        <w:spacing w:after="0" w:line="240" w:lineRule="auto"/>
        <w:jc w:val="both"/>
        <w:rPr>
          <w:rFonts w:asciiTheme="majorHAnsi" w:hAnsiTheme="majorHAnsi"/>
          <w:b/>
          <w:sz w:val="24"/>
          <w:szCs w:val="24"/>
        </w:rPr>
      </w:pPr>
    </w:p>
    <w:p w14:paraId="13619940" w14:textId="5F964E92" w:rsidR="00DE6E9C" w:rsidRDefault="00DE6E9C">
      <w:pPr>
        <w:rPr>
          <w:b/>
          <w:sz w:val="32"/>
          <w:szCs w:val="32"/>
        </w:rPr>
      </w:pPr>
      <w:r>
        <w:rPr>
          <w:b/>
          <w:sz w:val="32"/>
          <w:szCs w:val="32"/>
        </w:rPr>
        <w:br w:type="page"/>
      </w:r>
    </w:p>
    <w:p w14:paraId="2240E69F" w14:textId="77777777" w:rsidR="003A2CC0" w:rsidRPr="00DE6E9C" w:rsidRDefault="003A2CC0">
      <w:pPr>
        <w:pStyle w:val="Inhaltsverzeichnisberschrift"/>
        <w:rPr>
          <w:sz w:val="10"/>
          <w:lang w:val="de-DE"/>
        </w:rPr>
      </w:pPr>
    </w:p>
    <w:sdt>
      <w:sdtPr>
        <w:rPr>
          <w:rFonts w:asciiTheme="minorHAnsi" w:eastAsiaTheme="minorHAnsi" w:hAnsiTheme="minorHAnsi" w:cstheme="minorBidi"/>
          <w:color w:val="auto"/>
          <w:sz w:val="22"/>
          <w:szCs w:val="22"/>
          <w:lang w:val="de-DE" w:eastAsia="en-US"/>
        </w:rPr>
        <w:id w:val="799420964"/>
        <w:docPartObj>
          <w:docPartGallery w:val="Table of Contents"/>
          <w:docPartUnique/>
        </w:docPartObj>
      </w:sdtPr>
      <w:sdtEndPr>
        <w:rPr>
          <w:b/>
          <w:bCs/>
        </w:rPr>
      </w:sdtEndPr>
      <w:sdtContent>
        <w:p w14:paraId="2EDC2858" w14:textId="77777777" w:rsidR="009A38BB" w:rsidRPr="004701C4" w:rsidRDefault="009A38BB">
          <w:pPr>
            <w:pStyle w:val="Inhaltsverzeichnisberschrift"/>
            <w:rPr>
              <w:rFonts w:cstheme="minorHAnsi"/>
              <w:color w:val="auto"/>
              <w:szCs w:val="36"/>
              <w:lang w:val="de-DE"/>
            </w:rPr>
          </w:pPr>
          <w:r w:rsidRPr="004701C4">
            <w:rPr>
              <w:rFonts w:cstheme="minorHAnsi"/>
              <w:color w:val="auto"/>
              <w:szCs w:val="36"/>
              <w:lang w:val="de-DE"/>
            </w:rPr>
            <w:t>Inhaltsverzeichnis</w:t>
          </w:r>
        </w:p>
        <w:p w14:paraId="4F0495DA" w14:textId="77777777" w:rsidR="00B44A5B" w:rsidRPr="004701C4" w:rsidRDefault="00B44A5B" w:rsidP="00B44A5B">
          <w:pPr>
            <w:ind w:right="-286"/>
            <w:rPr>
              <w:rFonts w:asciiTheme="majorHAnsi" w:hAnsiTheme="majorHAnsi"/>
              <w:sz w:val="24"/>
              <w:szCs w:val="24"/>
              <w:lang w:val="de-DE" w:eastAsia="de-CH"/>
            </w:rPr>
          </w:pPr>
        </w:p>
        <w:p w14:paraId="248B721A" w14:textId="4C66BF99" w:rsidR="00DE6E9C" w:rsidRPr="004701C4" w:rsidRDefault="009A38BB">
          <w:pPr>
            <w:pStyle w:val="Verzeichnis1"/>
            <w:tabs>
              <w:tab w:val="left" w:pos="440"/>
              <w:tab w:val="right" w:leader="dot" w:pos="9060"/>
            </w:tabs>
            <w:rPr>
              <w:rFonts w:asciiTheme="majorHAnsi" w:eastAsiaTheme="minorEastAsia" w:hAnsiTheme="majorHAnsi"/>
              <w:noProof/>
              <w:lang w:eastAsia="de-CH"/>
            </w:rPr>
          </w:pPr>
          <w:r w:rsidRPr="004701C4">
            <w:rPr>
              <w:rFonts w:asciiTheme="majorHAnsi" w:hAnsiTheme="majorHAnsi"/>
            </w:rPr>
            <w:fldChar w:fldCharType="begin"/>
          </w:r>
          <w:r w:rsidRPr="004701C4">
            <w:rPr>
              <w:rFonts w:asciiTheme="majorHAnsi" w:hAnsiTheme="majorHAnsi"/>
            </w:rPr>
            <w:instrText xml:space="preserve"> TOC \o "1-3" \h \z \u </w:instrText>
          </w:r>
          <w:r w:rsidRPr="004701C4">
            <w:rPr>
              <w:rFonts w:asciiTheme="majorHAnsi" w:hAnsiTheme="majorHAnsi"/>
            </w:rPr>
            <w:fldChar w:fldCharType="separate"/>
          </w:r>
          <w:hyperlink w:anchor="_Toc74047610" w:history="1">
            <w:r w:rsidR="00DE6E9C" w:rsidRPr="004701C4">
              <w:rPr>
                <w:rStyle w:val="Hyperlink"/>
                <w:rFonts w:asciiTheme="majorHAnsi" w:hAnsiTheme="majorHAnsi"/>
                <w:noProof/>
                <w14:scene3d>
                  <w14:camera w14:prst="orthographicFront"/>
                  <w14:lightRig w14:rig="threePt" w14:dir="t">
                    <w14:rot w14:lat="0" w14:lon="0" w14:rev="0"/>
                  </w14:lightRig>
                </w14:scene3d>
              </w:rPr>
              <w:t>1</w:t>
            </w:r>
            <w:r w:rsidR="00DE6E9C" w:rsidRPr="004701C4">
              <w:rPr>
                <w:rFonts w:asciiTheme="majorHAnsi" w:eastAsiaTheme="minorEastAsia" w:hAnsiTheme="majorHAnsi"/>
                <w:noProof/>
                <w:lang w:eastAsia="de-CH"/>
              </w:rPr>
              <w:tab/>
            </w:r>
            <w:r w:rsidR="00DE6E9C" w:rsidRPr="004701C4">
              <w:rPr>
                <w:rStyle w:val="Hyperlink"/>
                <w:rFonts w:asciiTheme="majorHAnsi" w:hAnsiTheme="majorHAnsi"/>
                <w:noProof/>
              </w:rPr>
              <w:t>Informationen über die Martellus Capital AG:</w:t>
            </w:r>
            <w:r w:rsidR="00DE6E9C" w:rsidRPr="004701C4">
              <w:rPr>
                <w:rFonts w:asciiTheme="majorHAnsi" w:hAnsiTheme="majorHAnsi"/>
                <w:noProof/>
                <w:webHidden/>
              </w:rPr>
              <w:tab/>
            </w:r>
            <w:r w:rsidR="00DE6E9C" w:rsidRPr="004701C4">
              <w:rPr>
                <w:rFonts w:asciiTheme="majorHAnsi" w:hAnsiTheme="majorHAnsi"/>
                <w:noProof/>
                <w:webHidden/>
              </w:rPr>
              <w:fldChar w:fldCharType="begin"/>
            </w:r>
            <w:r w:rsidR="00DE6E9C" w:rsidRPr="004701C4">
              <w:rPr>
                <w:rFonts w:asciiTheme="majorHAnsi" w:hAnsiTheme="majorHAnsi"/>
                <w:noProof/>
                <w:webHidden/>
              </w:rPr>
              <w:instrText xml:space="preserve"> PAGEREF _Toc74047610 \h </w:instrText>
            </w:r>
            <w:r w:rsidR="00DE6E9C" w:rsidRPr="004701C4">
              <w:rPr>
                <w:rFonts w:asciiTheme="majorHAnsi" w:hAnsiTheme="majorHAnsi"/>
                <w:noProof/>
                <w:webHidden/>
              </w:rPr>
            </w:r>
            <w:r w:rsidR="00DE6E9C" w:rsidRPr="004701C4">
              <w:rPr>
                <w:rFonts w:asciiTheme="majorHAnsi" w:hAnsiTheme="majorHAnsi"/>
                <w:noProof/>
                <w:webHidden/>
              </w:rPr>
              <w:fldChar w:fldCharType="separate"/>
            </w:r>
            <w:r w:rsidR="002C007B">
              <w:rPr>
                <w:rFonts w:asciiTheme="majorHAnsi" w:hAnsiTheme="majorHAnsi"/>
                <w:noProof/>
                <w:webHidden/>
              </w:rPr>
              <w:t>3</w:t>
            </w:r>
            <w:r w:rsidR="00DE6E9C" w:rsidRPr="004701C4">
              <w:rPr>
                <w:rFonts w:asciiTheme="majorHAnsi" w:hAnsiTheme="majorHAnsi"/>
                <w:noProof/>
                <w:webHidden/>
              </w:rPr>
              <w:fldChar w:fldCharType="end"/>
            </w:r>
          </w:hyperlink>
        </w:p>
        <w:p w14:paraId="14A50D90" w14:textId="221CB2F0" w:rsidR="00DE6E9C" w:rsidRPr="004701C4" w:rsidRDefault="002C007B">
          <w:pPr>
            <w:pStyle w:val="Verzeichnis2"/>
            <w:tabs>
              <w:tab w:val="left" w:pos="880"/>
              <w:tab w:val="right" w:leader="dot" w:pos="9060"/>
            </w:tabs>
            <w:rPr>
              <w:rFonts w:asciiTheme="majorHAnsi" w:eastAsiaTheme="minorEastAsia" w:hAnsiTheme="majorHAnsi"/>
              <w:noProof/>
              <w:lang w:eastAsia="de-CH"/>
            </w:rPr>
          </w:pPr>
          <w:hyperlink w:anchor="_Toc74047611" w:history="1">
            <w:r w:rsidR="00DE6E9C" w:rsidRPr="004701C4">
              <w:rPr>
                <w:rStyle w:val="Hyperlink"/>
                <w:rFonts w:asciiTheme="majorHAnsi" w:hAnsiTheme="majorHAnsi"/>
                <w:bCs/>
                <w:noProof/>
                <w14:scene3d>
                  <w14:camera w14:prst="orthographicFront"/>
                  <w14:lightRig w14:rig="threePt" w14:dir="t">
                    <w14:rot w14:lat="0" w14:lon="0" w14:rev="0"/>
                  </w14:lightRig>
                </w14:scene3d>
              </w:rPr>
              <w:t>1.1</w:t>
            </w:r>
            <w:r w:rsidR="00DE6E9C" w:rsidRPr="004701C4">
              <w:rPr>
                <w:rFonts w:asciiTheme="majorHAnsi" w:eastAsiaTheme="minorEastAsia" w:hAnsiTheme="majorHAnsi"/>
                <w:noProof/>
                <w:lang w:eastAsia="de-CH"/>
              </w:rPr>
              <w:tab/>
            </w:r>
            <w:r w:rsidR="00DE6E9C" w:rsidRPr="004701C4">
              <w:rPr>
                <w:rStyle w:val="Hyperlink"/>
                <w:rFonts w:asciiTheme="majorHAnsi" w:hAnsiTheme="majorHAnsi"/>
                <w:noProof/>
              </w:rPr>
              <w:t>Über die Gesellschaft</w:t>
            </w:r>
            <w:r w:rsidR="00DE6E9C" w:rsidRPr="004701C4">
              <w:rPr>
                <w:rFonts w:asciiTheme="majorHAnsi" w:hAnsiTheme="majorHAnsi"/>
                <w:noProof/>
                <w:webHidden/>
              </w:rPr>
              <w:tab/>
            </w:r>
            <w:r w:rsidR="00DE6E9C" w:rsidRPr="004701C4">
              <w:rPr>
                <w:rFonts w:asciiTheme="majorHAnsi" w:hAnsiTheme="majorHAnsi"/>
                <w:noProof/>
                <w:webHidden/>
              </w:rPr>
              <w:fldChar w:fldCharType="begin"/>
            </w:r>
            <w:r w:rsidR="00DE6E9C" w:rsidRPr="004701C4">
              <w:rPr>
                <w:rFonts w:asciiTheme="majorHAnsi" w:hAnsiTheme="majorHAnsi"/>
                <w:noProof/>
                <w:webHidden/>
              </w:rPr>
              <w:instrText xml:space="preserve"> PAGEREF _Toc74047611 \h </w:instrText>
            </w:r>
            <w:r w:rsidR="00DE6E9C" w:rsidRPr="004701C4">
              <w:rPr>
                <w:rFonts w:asciiTheme="majorHAnsi" w:hAnsiTheme="majorHAnsi"/>
                <w:noProof/>
                <w:webHidden/>
              </w:rPr>
            </w:r>
            <w:r w:rsidR="00DE6E9C" w:rsidRPr="004701C4">
              <w:rPr>
                <w:rFonts w:asciiTheme="majorHAnsi" w:hAnsiTheme="majorHAnsi"/>
                <w:noProof/>
                <w:webHidden/>
              </w:rPr>
              <w:fldChar w:fldCharType="separate"/>
            </w:r>
            <w:r>
              <w:rPr>
                <w:rFonts w:asciiTheme="majorHAnsi" w:hAnsiTheme="majorHAnsi"/>
                <w:noProof/>
                <w:webHidden/>
              </w:rPr>
              <w:t>3</w:t>
            </w:r>
            <w:r w:rsidR="00DE6E9C" w:rsidRPr="004701C4">
              <w:rPr>
                <w:rFonts w:asciiTheme="majorHAnsi" w:hAnsiTheme="majorHAnsi"/>
                <w:noProof/>
                <w:webHidden/>
              </w:rPr>
              <w:fldChar w:fldCharType="end"/>
            </w:r>
          </w:hyperlink>
        </w:p>
        <w:p w14:paraId="1B06170B" w14:textId="7DD62ED6" w:rsidR="00DE6E9C" w:rsidRPr="004701C4" w:rsidRDefault="002C007B">
          <w:pPr>
            <w:pStyle w:val="Verzeichnis2"/>
            <w:tabs>
              <w:tab w:val="left" w:pos="880"/>
              <w:tab w:val="right" w:leader="dot" w:pos="9060"/>
            </w:tabs>
            <w:rPr>
              <w:rFonts w:asciiTheme="majorHAnsi" w:eastAsiaTheme="minorEastAsia" w:hAnsiTheme="majorHAnsi"/>
              <w:noProof/>
              <w:lang w:eastAsia="de-CH"/>
            </w:rPr>
          </w:pPr>
          <w:hyperlink w:anchor="_Toc74047612" w:history="1">
            <w:r w:rsidR="00DE6E9C" w:rsidRPr="004701C4">
              <w:rPr>
                <w:rStyle w:val="Hyperlink"/>
                <w:rFonts w:asciiTheme="majorHAnsi" w:hAnsiTheme="majorHAnsi"/>
                <w:bCs/>
                <w:noProof/>
                <w14:scene3d>
                  <w14:camera w14:prst="orthographicFront"/>
                  <w14:lightRig w14:rig="threePt" w14:dir="t">
                    <w14:rot w14:lat="0" w14:lon="0" w14:rev="0"/>
                  </w14:lightRig>
                </w14:scene3d>
              </w:rPr>
              <w:t>1.2</w:t>
            </w:r>
            <w:r w:rsidR="00DE6E9C" w:rsidRPr="004701C4">
              <w:rPr>
                <w:rFonts w:asciiTheme="majorHAnsi" w:eastAsiaTheme="minorEastAsia" w:hAnsiTheme="majorHAnsi"/>
                <w:noProof/>
                <w:lang w:eastAsia="de-CH"/>
              </w:rPr>
              <w:tab/>
            </w:r>
            <w:r w:rsidR="00DE6E9C" w:rsidRPr="004701C4">
              <w:rPr>
                <w:rStyle w:val="Hyperlink"/>
                <w:rFonts w:asciiTheme="majorHAnsi" w:hAnsiTheme="majorHAnsi"/>
                <w:noProof/>
              </w:rPr>
              <w:t>Unser Dienstleistungsangebot</w:t>
            </w:r>
            <w:r w:rsidR="00DE6E9C" w:rsidRPr="004701C4">
              <w:rPr>
                <w:rFonts w:asciiTheme="majorHAnsi" w:hAnsiTheme="majorHAnsi"/>
                <w:noProof/>
                <w:webHidden/>
              </w:rPr>
              <w:tab/>
            </w:r>
            <w:r w:rsidR="00DE6E9C" w:rsidRPr="004701C4">
              <w:rPr>
                <w:rFonts w:asciiTheme="majorHAnsi" w:hAnsiTheme="majorHAnsi"/>
                <w:noProof/>
                <w:webHidden/>
              </w:rPr>
              <w:fldChar w:fldCharType="begin"/>
            </w:r>
            <w:r w:rsidR="00DE6E9C" w:rsidRPr="004701C4">
              <w:rPr>
                <w:rFonts w:asciiTheme="majorHAnsi" w:hAnsiTheme="majorHAnsi"/>
                <w:noProof/>
                <w:webHidden/>
              </w:rPr>
              <w:instrText xml:space="preserve"> PAGEREF _Toc74047612 \h </w:instrText>
            </w:r>
            <w:r w:rsidR="00DE6E9C" w:rsidRPr="004701C4">
              <w:rPr>
                <w:rFonts w:asciiTheme="majorHAnsi" w:hAnsiTheme="majorHAnsi"/>
                <w:noProof/>
                <w:webHidden/>
              </w:rPr>
            </w:r>
            <w:r w:rsidR="00DE6E9C" w:rsidRPr="004701C4">
              <w:rPr>
                <w:rFonts w:asciiTheme="majorHAnsi" w:hAnsiTheme="majorHAnsi"/>
                <w:noProof/>
                <w:webHidden/>
              </w:rPr>
              <w:fldChar w:fldCharType="separate"/>
            </w:r>
            <w:r>
              <w:rPr>
                <w:rFonts w:asciiTheme="majorHAnsi" w:hAnsiTheme="majorHAnsi"/>
                <w:noProof/>
                <w:webHidden/>
              </w:rPr>
              <w:t>3</w:t>
            </w:r>
            <w:r w:rsidR="00DE6E9C" w:rsidRPr="004701C4">
              <w:rPr>
                <w:rFonts w:asciiTheme="majorHAnsi" w:hAnsiTheme="majorHAnsi"/>
                <w:noProof/>
                <w:webHidden/>
              </w:rPr>
              <w:fldChar w:fldCharType="end"/>
            </w:r>
          </w:hyperlink>
        </w:p>
        <w:p w14:paraId="53AED0A5" w14:textId="69BDA617" w:rsidR="00DE6E9C" w:rsidRPr="004701C4" w:rsidRDefault="002C007B">
          <w:pPr>
            <w:pStyle w:val="Verzeichnis2"/>
            <w:tabs>
              <w:tab w:val="left" w:pos="880"/>
              <w:tab w:val="right" w:leader="dot" w:pos="9060"/>
            </w:tabs>
            <w:rPr>
              <w:rFonts w:asciiTheme="majorHAnsi" w:eastAsiaTheme="minorEastAsia" w:hAnsiTheme="majorHAnsi"/>
              <w:noProof/>
              <w:lang w:eastAsia="de-CH"/>
            </w:rPr>
          </w:pPr>
          <w:hyperlink w:anchor="_Toc74047613" w:history="1">
            <w:r w:rsidR="00DE6E9C" w:rsidRPr="004701C4">
              <w:rPr>
                <w:rStyle w:val="Hyperlink"/>
                <w:rFonts w:asciiTheme="majorHAnsi" w:hAnsiTheme="majorHAnsi"/>
                <w:bCs/>
                <w:noProof/>
                <w14:scene3d>
                  <w14:camera w14:prst="orthographicFront"/>
                  <w14:lightRig w14:rig="threePt" w14:dir="t">
                    <w14:rot w14:lat="0" w14:lon="0" w14:rev="0"/>
                  </w14:lightRig>
                </w14:scene3d>
              </w:rPr>
              <w:t>1.3</w:t>
            </w:r>
            <w:r w:rsidR="00DE6E9C" w:rsidRPr="004701C4">
              <w:rPr>
                <w:rFonts w:asciiTheme="majorHAnsi" w:eastAsiaTheme="minorEastAsia" w:hAnsiTheme="majorHAnsi"/>
                <w:noProof/>
                <w:lang w:eastAsia="de-CH"/>
              </w:rPr>
              <w:tab/>
            </w:r>
            <w:r w:rsidR="00DE6E9C" w:rsidRPr="004701C4">
              <w:rPr>
                <w:rStyle w:val="Hyperlink"/>
                <w:rFonts w:asciiTheme="majorHAnsi" w:hAnsiTheme="majorHAnsi"/>
                <w:noProof/>
              </w:rPr>
              <w:t>Aufsichtsstatus</w:t>
            </w:r>
            <w:r w:rsidR="00DE6E9C" w:rsidRPr="004701C4">
              <w:rPr>
                <w:rFonts w:asciiTheme="majorHAnsi" w:hAnsiTheme="majorHAnsi"/>
                <w:noProof/>
                <w:webHidden/>
              </w:rPr>
              <w:tab/>
            </w:r>
            <w:r w:rsidR="00DE6E9C" w:rsidRPr="004701C4">
              <w:rPr>
                <w:rFonts w:asciiTheme="majorHAnsi" w:hAnsiTheme="majorHAnsi"/>
                <w:noProof/>
                <w:webHidden/>
              </w:rPr>
              <w:fldChar w:fldCharType="begin"/>
            </w:r>
            <w:r w:rsidR="00DE6E9C" w:rsidRPr="004701C4">
              <w:rPr>
                <w:rFonts w:asciiTheme="majorHAnsi" w:hAnsiTheme="majorHAnsi"/>
                <w:noProof/>
                <w:webHidden/>
              </w:rPr>
              <w:instrText xml:space="preserve"> PAGEREF _Toc74047613 \h </w:instrText>
            </w:r>
            <w:r w:rsidR="00DE6E9C" w:rsidRPr="004701C4">
              <w:rPr>
                <w:rFonts w:asciiTheme="majorHAnsi" w:hAnsiTheme="majorHAnsi"/>
                <w:noProof/>
                <w:webHidden/>
              </w:rPr>
            </w:r>
            <w:r w:rsidR="00DE6E9C" w:rsidRPr="004701C4">
              <w:rPr>
                <w:rFonts w:asciiTheme="majorHAnsi" w:hAnsiTheme="majorHAnsi"/>
                <w:noProof/>
                <w:webHidden/>
              </w:rPr>
              <w:fldChar w:fldCharType="separate"/>
            </w:r>
            <w:r>
              <w:rPr>
                <w:rFonts w:asciiTheme="majorHAnsi" w:hAnsiTheme="majorHAnsi"/>
                <w:noProof/>
                <w:webHidden/>
              </w:rPr>
              <w:t>3</w:t>
            </w:r>
            <w:r w:rsidR="00DE6E9C" w:rsidRPr="004701C4">
              <w:rPr>
                <w:rFonts w:asciiTheme="majorHAnsi" w:hAnsiTheme="majorHAnsi"/>
                <w:noProof/>
                <w:webHidden/>
              </w:rPr>
              <w:fldChar w:fldCharType="end"/>
            </w:r>
          </w:hyperlink>
        </w:p>
        <w:p w14:paraId="74872700" w14:textId="42A874B4" w:rsidR="00DE6E9C" w:rsidRPr="004701C4" w:rsidRDefault="002C007B">
          <w:pPr>
            <w:pStyle w:val="Verzeichnis1"/>
            <w:tabs>
              <w:tab w:val="left" w:pos="440"/>
              <w:tab w:val="right" w:leader="dot" w:pos="9060"/>
            </w:tabs>
            <w:rPr>
              <w:rFonts w:asciiTheme="majorHAnsi" w:eastAsiaTheme="minorEastAsia" w:hAnsiTheme="majorHAnsi"/>
              <w:noProof/>
              <w:lang w:eastAsia="de-CH"/>
            </w:rPr>
          </w:pPr>
          <w:hyperlink w:anchor="_Toc74047614" w:history="1">
            <w:r w:rsidR="00DE6E9C" w:rsidRPr="004701C4">
              <w:rPr>
                <w:rStyle w:val="Hyperlink"/>
                <w:rFonts w:asciiTheme="majorHAnsi" w:hAnsiTheme="majorHAnsi"/>
                <w:noProof/>
                <w14:scene3d>
                  <w14:camera w14:prst="orthographicFront"/>
                  <w14:lightRig w14:rig="threePt" w14:dir="t">
                    <w14:rot w14:lat="0" w14:lon="0" w14:rev="0"/>
                  </w14:lightRig>
                </w14:scene3d>
              </w:rPr>
              <w:t>2</w:t>
            </w:r>
            <w:r w:rsidR="00DE6E9C" w:rsidRPr="004701C4">
              <w:rPr>
                <w:rFonts w:asciiTheme="majorHAnsi" w:eastAsiaTheme="minorEastAsia" w:hAnsiTheme="majorHAnsi"/>
                <w:noProof/>
                <w:lang w:eastAsia="de-CH"/>
              </w:rPr>
              <w:tab/>
            </w:r>
            <w:r w:rsidR="00DE6E9C" w:rsidRPr="004701C4">
              <w:rPr>
                <w:rStyle w:val="Hyperlink"/>
                <w:rFonts w:asciiTheme="majorHAnsi" w:hAnsiTheme="majorHAnsi"/>
                <w:noProof/>
              </w:rPr>
              <w:t>Grundsätze zur Dienstleistungserbringung</w:t>
            </w:r>
            <w:r w:rsidR="00DE6E9C" w:rsidRPr="004701C4">
              <w:rPr>
                <w:rFonts w:asciiTheme="majorHAnsi" w:hAnsiTheme="majorHAnsi"/>
                <w:noProof/>
                <w:webHidden/>
              </w:rPr>
              <w:tab/>
            </w:r>
            <w:r w:rsidR="00DE6E9C" w:rsidRPr="004701C4">
              <w:rPr>
                <w:rFonts w:asciiTheme="majorHAnsi" w:hAnsiTheme="majorHAnsi"/>
                <w:noProof/>
                <w:webHidden/>
              </w:rPr>
              <w:fldChar w:fldCharType="begin"/>
            </w:r>
            <w:r w:rsidR="00DE6E9C" w:rsidRPr="004701C4">
              <w:rPr>
                <w:rFonts w:asciiTheme="majorHAnsi" w:hAnsiTheme="majorHAnsi"/>
                <w:noProof/>
                <w:webHidden/>
              </w:rPr>
              <w:instrText xml:space="preserve"> PAGEREF _Toc74047614 \h </w:instrText>
            </w:r>
            <w:r w:rsidR="00DE6E9C" w:rsidRPr="004701C4">
              <w:rPr>
                <w:rFonts w:asciiTheme="majorHAnsi" w:hAnsiTheme="majorHAnsi"/>
                <w:noProof/>
                <w:webHidden/>
              </w:rPr>
            </w:r>
            <w:r w:rsidR="00DE6E9C" w:rsidRPr="004701C4">
              <w:rPr>
                <w:rFonts w:asciiTheme="majorHAnsi" w:hAnsiTheme="majorHAnsi"/>
                <w:noProof/>
                <w:webHidden/>
              </w:rPr>
              <w:fldChar w:fldCharType="separate"/>
            </w:r>
            <w:r>
              <w:rPr>
                <w:rFonts w:asciiTheme="majorHAnsi" w:hAnsiTheme="majorHAnsi"/>
                <w:noProof/>
                <w:webHidden/>
              </w:rPr>
              <w:t>4</w:t>
            </w:r>
            <w:r w:rsidR="00DE6E9C" w:rsidRPr="004701C4">
              <w:rPr>
                <w:rFonts w:asciiTheme="majorHAnsi" w:hAnsiTheme="majorHAnsi"/>
                <w:noProof/>
                <w:webHidden/>
              </w:rPr>
              <w:fldChar w:fldCharType="end"/>
            </w:r>
          </w:hyperlink>
        </w:p>
        <w:p w14:paraId="7FF01BC3" w14:textId="1EE3A558" w:rsidR="00DE6E9C" w:rsidRPr="004701C4" w:rsidRDefault="002C007B">
          <w:pPr>
            <w:pStyle w:val="Verzeichnis2"/>
            <w:tabs>
              <w:tab w:val="left" w:pos="880"/>
              <w:tab w:val="right" w:leader="dot" w:pos="9060"/>
            </w:tabs>
            <w:rPr>
              <w:rFonts w:asciiTheme="majorHAnsi" w:eastAsiaTheme="minorEastAsia" w:hAnsiTheme="majorHAnsi"/>
              <w:noProof/>
              <w:lang w:eastAsia="de-CH"/>
            </w:rPr>
          </w:pPr>
          <w:hyperlink w:anchor="_Toc74047615" w:history="1">
            <w:r w:rsidR="00DE6E9C" w:rsidRPr="004701C4">
              <w:rPr>
                <w:rStyle w:val="Hyperlink"/>
                <w:rFonts w:asciiTheme="majorHAnsi" w:hAnsiTheme="majorHAnsi"/>
                <w:bCs/>
                <w:noProof/>
                <w14:scene3d>
                  <w14:camera w14:prst="orthographicFront"/>
                  <w14:lightRig w14:rig="threePt" w14:dir="t">
                    <w14:rot w14:lat="0" w14:lon="0" w14:rev="0"/>
                  </w14:lightRig>
                </w14:scene3d>
              </w:rPr>
              <w:t>2.1</w:t>
            </w:r>
            <w:r w:rsidR="00DE6E9C" w:rsidRPr="004701C4">
              <w:rPr>
                <w:rFonts w:asciiTheme="majorHAnsi" w:eastAsiaTheme="minorEastAsia" w:hAnsiTheme="majorHAnsi"/>
                <w:noProof/>
                <w:lang w:eastAsia="de-CH"/>
              </w:rPr>
              <w:tab/>
            </w:r>
            <w:r w:rsidR="00DE6E9C" w:rsidRPr="004701C4">
              <w:rPr>
                <w:rStyle w:val="Hyperlink"/>
                <w:rFonts w:asciiTheme="majorHAnsi" w:hAnsiTheme="majorHAnsi"/>
                <w:noProof/>
              </w:rPr>
              <w:t>Keine Vertriebsbindungen an Dritte</w:t>
            </w:r>
            <w:r w:rsidR="00DE6E9C" w:rsidRPr="004701C4">
              <w:rPr>
                <w:rFonts w:asciiTheme="majorHAnsi" w:hAnsiTheme="majorHAnsi"/>
                <w:noProof/>
                <w:webHidden/>
              </w:rPr>
              <w:tab/>
            </w:r>
            <w:r w:rsidR="00DE6E9C" w:rsidRPr="004701C4">
              <w:rPr>
                <w:rFonts w:asciiTheme="majorHAnsi" w:hAnsiTheme="majorHAnsi"/>
                <w:noProof/>
                <w:webHidden/>
              </w:rPr>
              <w:fldChar w:fldCharType="begin"/>
            </w:r>
            <w:r w:rsidR="00DE6E9C" w:rsidRPr="004701C4">
              <w:rPr>
                <w:rFonts w:asciiTheme="majorHAnsi" w:hAnsiTheme="majorHAnsi"/>
                <w:noProof/>
                <w:webHidden/>
              </w:rPr>
              <w:instrText xml:space="preserve"> PAGEREF _Toc74047615 \h </w:instrText>
            </w:r>
            <w:r w:rsidR="00DE6E9C" w:rsidRPr="004701C4">
              <w:rPr>
                <w:rFonts w:asciiTheme="majorHAnsi" w:hAnsiTheme="majorHAnsi"/>
                <w:noProof/>
                <w:webHidden/>
              </w:rPr>
            </w:r>
            <w:r w:rsidR="00DE6E9C" w:rsidRPr="004701C4">
              <w:rPr>
                <w:rFonts w:asciiTheme="majorHAnsi" w:hAnsiTheme="majorHAnsi"/>
                <w:noProof/>
                <w:webHidden/>
              </w:rPr>
              <w:fldChar w:fldCharType="separate"/>
            </w:r>
            <w:r>
              <w:rPr>
                <w:rFonts w:asciiTheme="majorHAnsi" w:hAnsiTheme="majorHAnsi"/>
                <w:noProof/>
                <w:webHidden/>
              </w:rPr>
              <w:t>4</w:t>
            </w:r>
            <w:r w:rsidR="00DE6E9C" w:rsidRPr="004701C4">
              <w:rPr>
                <w:rFonts w:asciiTheme="majorHAnsi" w:hAnsiTheme="majorHAnsi"/>
                <w:noProof/>
                <w:webHidden/>
              </w:rPr>
              <w:fldChar w:fldCharType="end"/>
            </w:r>
          </w:hyperlink>
        </w:p>
        <w:p w14:paraId="39661647" w14:textId="3B31A3A4" w:rsidR="00DE6E9C" w:rsidRPr="004701C4" w:rsidRDefault="002C007B">
          <w:pPr>
            <w:pStyle w:val="Verzeichnis2"/>
            <w:tabs>
              <w:tab w:val="left" w:pos="880"/>
              <w:tab w:val="right" w:leader="dot" w:pos="9060"/>
            </w:tabs>
            <w:rPr>
              <w:rFonts w:asciiTheme="majorHAnsi" w:eastAsiaTheme="minorEastAsia" w:hAnsiTheme="majorHAnsi"/>
              <w:noProof/>
              <w:lang w:eastAsia="de-CH"/>
            </w:rPr>
          </w:pPr>
          <w:hyperlink w:anchor="_Toc74047616" w:history="1">
            <w:r w:rsidR="00DE6E9C" w:rsidRPr="004701C4">
              <w:rPr>
                <w:rStyle w:val="Hyperlink"/>
                <w:rFonts w:asciiTheme="majorHAnsi" w:hAnsiTheme="majorHAnsi"/>
                <w:bCs/>
                <w:noProof/>
                <w14:scene3d>
                  <w14:camera w14:prst="orthographicFront"/>
                  <w14:lightRig w14:rig="threePt" w14:dir="t">
                    <w14:rot w14:lat="0" w14:lon="0" w14:rev="0"/>
                  </w14:lightRig>
                </w14:scene3d>
              </w:rPr>
              <w:t>2.2</w:t>
            </w:r>
            <w:r w:rsidR="00DE6E9C" w:rsidRPr="004701C4">
              <w:rPr>
                <w:rFonts w:asciiTheme="majorHAnsi" w:eastAsiaTheme="minorEastAsia" w:hAnsiTheme="majorHAnsi"/>
                <w:noProof/>
                <w:lang w:eastAsia="de-CH"/>
              </w:rPr>
              <w:tab/>
            </w:r>
            <w:r w:rsidR="00DE6E9C" w:rsidRPr="004701C4">
              <w:rPr>
                <w:rStyle w:val="Hyperlink"/>
                <w:rFonts w:asciiTheme="majorHAnsi" w:hAnsiTheme="majorHAnsi"/>
                <w:noProof/>
              </w:rPr>
              <w:t>Anlagestrategien und eingesetztes Anlageuniversum</w:t>
            </w:r>
            <w:r w:rsidR="00DE6E9C" w:rsidRPr="004701C4">
              <w:rPr>
                <w:rFonts w:asciiTheme="majorHAnsi" w:hAnsiTheme="majorHAnsi"/>
                <w:noProof/>
                <w:webHidden/>
              </w:rPr>
              <w:tab/>
            </w:r>
            <w:r w:rsidR="00DE6E9C" w:rsidRPr="004701C4">
              <w:rPr>
                <w:rFonts w:asciiTheme="majorHAnsi" w:hAnsiTheme="majorHAnsi"/>
                <w:noProof/>
                <w:webHidden/>
              </w:rPr>
              <w:fldChar w:fldCharType="begin"/>
            </w:r>
            <w:r w:rsidR="00DE6E9C" w:rsidRPr="004701C4">
              <w:rPr>
                <w:rFonts w:asciiTheme="majorHAnsi" w:hAnsiTheme="majorHAnsi"/>
                <w:noProof/>
                <w:webHidden/>
              </w:rPr>
              <w:instrText xml:space="preserve"> PAGEREF _Toc74047616 \h </w:instrText>
            </w:r>
            <w:r w:rsidR="00DE6E9C" w:rsidRPr="004701C4">
              <w:rPr>
                <w:rFonts w:asciiTheme="majorHAnsi" w:hAnsiTheme="majorHAnsi"/>
                <w:noProof/>
                <w:webHidden/>
              </w:rPr>
            </w:r>
            <w:r w:rsidR="00DE6E9C" w:rsidRPr="004701C4">
              <w:rPr>
                <w:rFonts w:asciiTheme="majorHAnsi" w:hAnsiTheme="majorHAnsi"/>
                <w:noProof/>
                <w:webHidden/>
              </w:rPr>
              <w:fldChar w:fldCharType="separate"/>
            </w:r>
            <w:r>
              <w:rPr>
                <w:rFonts w:asciiTheme="majorHAnsi" w:hAnsiTheme="majorHAnsi"/>
                <w:noProof/>
                <w:webHidden/>
              </w:rPr>
              <w:t>4</w:t>
            </w:r>
            <w:r w:rsidR="00DE6E9C" w:rsidRPr="004701C4">
              <w:rPr>
                <w:rFonts w:asciiTheme="majorHAnsi" w:hAnsiTheme="majorHAnsi"/>
                <w:noProof/>
                <w:webHidden/>
              </w:rPr>
              <w:fldChar w:fldCharType="end"/>
            </w:r>
          </w:hyperlink>
        </w:p>
        <w:p w14:paraId="1C71872C" w14:textId="437DFFAC" w:rsidR="00DE6E9C" w:rsidRPr="004701C4" w:rsidRDefault="002C007B">
          <w:pPr>
            <w:pStyle w:val="Verzeichnis2"/>
            <w:tabs>
              <w:tab w:val="left" w:pos="880"/>
              <w:tab w:val="right" w:leader="dot" w:pos="9060"/>
            </w:tabs>
            <w:rPr>
              <w:rFonts w:asciiTheme="majorHAnsi" w:eastAsiaTheme="minorEastAsia" w:hAnsiTheme="majorHAnsi"/>
              <w:noProof/>
              <w:lang w:eastAsia="de-CH"/>
            </w:rPr>
          </w:pPr>
          <w:hyperlink w:anchor="_Toc74047617" w:history="1">
            <w:r w:rsidR="00DE6E9C" w:rsidRPr="004701C4">
              <w:rPr>
                <w:rStyle w:val="Hyperlink"/>
                <w:rFonts w:asciiTheme="majorHAnsi" w:hAnsiTheme="majorHAnsi"/>
                <w:bCs/>
                <w:noProof/>
                <w14:scene3d>
                  <w14:camera w14:prst="orthographicFront"/>
                  <w14:lightRig w14:rig="threePt" w14:dir="t">
                    <w14:rot w14:lat="0" w14:lon="0" w14:rev="0"/>
                  </w14:lightRig>
                </w14:scene3d>
              </w:rPr>
              <w:t>2.3</w:t>
            </w:r>
            <w:r w:rsidR="00DE6E9C" w:rsidRPr="004701C4">
              <w:rPr>
                <w:rFonts w:asciiTheme="majorHAnsi" w:eastAsiaTheme="minorEastAsia" w:hAnsiTheme="majorHAnsi"/>
                <w:noProof/>
                <w:lang w:eastAsia="de-CH"/>
              </w:rPr>
              <w:tab/>
            </w:r>
            <w:r w:rsidR="00DE6E9C" w:rsidRPr="004701C4">
              <w:rPr>
                <w:rStyle w:val="Hyperlink"/>
                <w:rFonts w:asciiTheme="majorHAnsi" w:hAnsiTheme="majorHAnsi"/>
                <w:noProof/>
              </w:rPr>
              <w:t>Informationen zur Art und Umfang der Risikoaufklärung</w:t>
            </w:r>
            <w:r w:rsidR="00DE6E9C" w:rsidRPr="004701C4">
              <w:rPr>
                <w:rFonts w:asciiTheme="majorHAnsi" w:hAnsiTheme="majorHAnsi"/>
                <w:noProof/>
                <w:webHidden/>
              </w:rPr>
              <w:tab/>
            </w:r>
            <w:r w:rsidR="00DE6E9C" w:rsidRPr="004701C4">
              <w:rPr>
                <w:rFonts w:asciiTheme="majorHAnsi" w:hAnsiTheme="majorHAnsi"/>
                <w:noProof/>
                <w:webHidden/>
              </w:rPr>
              <w:fldChar w:fldCharType="begin"/>
            </w:r>
            <w:r w:rsidR="00DE6E9C" w:rsidRPr="004701C4">
              <w:rPr>
                <w:rFonts w:asciiTheme="majorHAnsi" w:hAnsiTheme="majorHAnsi"/>
                <w:noProof/>
                <w:webHidden/>
              </w:rPr>
              <w:instrText xml:space="preserve"> PAGEREF _Toc74047617 \h </w:instrText>
            </w:r>
            <w:r w:rsidR="00DE6E9C" w:rsidRPr="004701C4">
              <w:rPr>
                <w:rFonts w:asciiTheme="majorHAnsi" w:hAnsiTheme="majorHAnsi"/>
                <w:noProof/>
                <w:webHidden/>
              </w:rPr>
            </w:r>
            <w:r w:rsidR="00DE6E9C" w:rsidRPr="004701C4">
              <w:rPr>
                <w:rFonts w:asciiTheme="majorHAnsi" w:hAnsiTheme="majorHAnsi"/>
                <w:noProof/>
                <w:webHidden/>
              </w:rPr>
              <w:fldChar w:fldCharType="separate"/>
            </w:r>
            <w:r>
              <w:rPr>
                <w:rFonts w:asciiTheme="majorHAnsi" w:hAnsiTheme="majorHAnsi"/>
                <w:noProof/>
                <w:webHidden/>
              </w:rPr>
              <w:t>5</w:t>
            </w:r>
            <w:r w:rsidR="00DE6E9C" w:rsidRPr="004701C4">
              <w:rPr>
                <w:rFonts w:asciiTheme="majorHAnsi" w:hAnsiTheme="majorHAnsi"/>
                <w:noProof/>
                <w:webHidden/>
              </w:rPr>
              <w:fldChar w:fldCharType="end"/>
            </w:r>
          </w:hyperlink>
        </w:p>
        <w:p w14:paraId="4A5B739B" w14:textId="75FAF0E0" w:rsidR="00DE6E9C" w:rsidRPr="004701C4" w:rsidRDefault="002C007B">
          <w:pPr>
            <w:pStyle w:val="Verzeichnis2"/>
            <w:tabs>
              <w:tab w:val="left" w:pos="880"/>
              <w:tab w:val="right" w:leader="dot" w:pos="9060"/>
            </w:tabs>
            <w:rPr>
              <w:rFonts w:asciiTheme="majorHAnsi" w:eastAsiaTheme="minorEastAsia" w:hAnsiTheme="majorHAnsi"/>
              <w:noProof/>
              <w:lang w:eastAsia="de-CH"/>
            </w:rPr>
          </w:pPr>
          <w:hyperlink w:anchor="_Toc74047618" w:history="1">
            <w:r w:rsidR="00DE6E9C" w:rsidRPr="004701C4">
              <w:rPr>
                <w:rStyle w:val="Hyperlink"/>
                <w:rFonts w:asciiTheme="majorHAnsi" w:hAnsiTheme="majorHAnsi"/>
                <w:bCs/>
                <w:noProof/>
                <w14:scene3d>
                  <w14:camera w14:prst="orthographicFront"/>
                  <w14:lightRig w14:rig="threePt" w14:dir="t">
                    <w14:rot w14:lat="0" w14:lon="0" w14:rev="0"/>
                  </w14:lightRig>
                </w14:scene3d>
              </w:rPr>
              <w:t>2.4</w:t>
            </w:r>
            <w:r w:rsidR="00DE6E9C" w:rsidRPr="004701C4">
              <w:rPr>
                <w:rFonts w:asciiTheme="majorHAnsi" w:eastAsiaTheme="minorEastAsia" w:hAnsiTheme="majorHAnsi"/>
                <w:noProof/>
                <w:lang w:eastAsia="de-CH"/>
              </w:rPr>
              <w:tab/>
            </w:r>
            <w:r w:rsidR="00DE6E9C" w:rsidRPr="004701C4">
              <w:rPr>
                <w:rStyle w:val="Hyperlink"/>
                <w:rFonts w:asciiTheme="majorHAnsi" w:hAnsiTheme="majorHAnsi"/>
                <w:noProof/>
              </w:rPr>
              <w:t>Honorar und Abgeltung der Gesellschaft</w:t>
            </w:r>
            <w:r w:rsidR="00DE6E9C" w:rsidRPr="004701C4">
              <w:rPr>
                <w:rFonts w:asciiTheme="majorHAnsi" w:hAnsiTheme="majorHAnsi"/>
                <w:noProof/>
                <w:webHidden/>
              </w:rPr>
              <w:tab/>
            </w:r>
            <w:r w:rsidR="00DE6E9C" w:rsidRPr="004701C4">
              <w:rPr>
                <w:rFonts w:asciiTheme="majorHAnsi" w:hAnsiTheme="majorHAnsi"/>
                <w:noProof/>
                <w:webHidden/>
              </w:rPr>
              <w:fldChar w:fldCharType="begin"/>
            </w:r>
            <w:r w:rsidR="00DE6E9C" w:rsidRPr="004701C4">
              <w:rPr>
                <w:rFonts w:asciiTheme="majorHAnsi" w:hAnsiTheme="majorHAnsi"/>
                <w:noProof/>
                <w:webHidden/>
              </w:rPr>
              <w:instrText xml:space="preserve"> PAGEREF _Toc74047618 \h </w:instrText>
            </w:r>
            <w:r w:rsidR="00DE6E9C" w:rsidRPr="004701C4">
              <w:rPr>
                <w:rFonts w:asciiTheme="majorHAnsi" w:hAnsiTheme="majorHAnsi"/>
                <w:noProof/>
                <w:webHidden/>
              </w:rPr>
            </w:r>
            <w:r w:rsidR="00DE6E9C" w:rsidRPr="004701C4">
              <w:rPr>
                <w:rFonts w:asciiTheme="majorHAnsi" w:hAnsiTheme="majorHAnsi"/>
                <w:noProof/>
                <w:webHidden/>
              </w:rPr>
              <w:fldChar w:fldCharType="separate"/>
            </w:r>
            <w:r>
              <w:rPr>
                <w:rFonts w:asciiTheme="majorHAnsi" w:hAnsiTheme="majorHAnsi"/>
                <w:noProof/>
                <w:webHidden/>
              </w:rPr>
              <w:t>5</w:t>
            </w:r>
            <w:r w:rsidR="00DE6E9C" w:rsidRPr="004701C4">
              <w:rPr>
                <w:rFonts w:asciiTheme="majorHAnsi" w:hAnsiTheme="majorHAnsi"/>
                <w:noProof/>
                <w:webHidden/>
              </w:rPr>
              <w:fldChar w:fldCharType="end"/>
            </w:r>
          </w:hyperlink>
        </w:p>
        <w:p w14:paraId="316EEC3C" w14:textId="599C1E95" w:rsidR="00DE6E9C" w:rsidRPr="004701C4" w:rsidRDefault="002C007B">
          <w:pPr>
            <w:pStyle w:val="Verzeichnis2"/>
            <w:tabs>
              <w:tab w:val="left" w:pos="880"/>
              <w:tab w:val="right" w:leader="dot" w:pos="9060"/>
            </w:tabs>
            <w:rPr>
              <w:rFonts w:asciiTheme="majorHAnsi" w:eastAsiaTheme="minorEastAsia" w:hAnsiTheme="majorHAnsi"/>
              <w:noProof/>
              <w:lang w:eastAsia="de-CH"/>
            </w:rPr>
          </w:pPr>
          <w:hyperlink w:anchor="_Toc74047619" w:history="1">
            <w:r w:rsidR="00DE6E9C" w:rsidRPr="004701C4">
              <w:rPr>
                <w:rStyle w:val="Hyperlink"/>
                <w:rFonts w:asciiTheme="majorHAnsi" w:hAnsiTheme="majorHAnsi"/>
                <w:bCs/>
                <w:noProof/>
                <w14:scene3d>
                  <w14:camera w14:prst="orthographicFront"/>
                  <w14:lightRig w14:rig="threePt" w14:dir="t">
                    <w14:rot w14:lat="0" w14:lon="0" w14:rev="0"/>
                  </w14:lightRig>
                </w14:scene3d>
              </w:rPr>
              <w:t>2.5</w:t>
            </w:r>
            <w:r w:rsidR="00DE6E9C" w:rsidRPr="004701C4">
              <w:rPr>
                <w:rFonts w:asciiTheme="majorHAnsi" w:eastAsiaTheme="minorEastAsia" w:hAnsiTheme="majorHAnsi"/>
                <w:noProof/>
                <w:lang w:eastAsia="de-CH"/>
              </w:rPr>
              <w:tab/>
            </w:r>
            <w:r w:rsidR="00DE6E9C" w:rsidRPr="004701C4">
              <w:rPr>
                <w:rStyle w:val="Hyperlink"/>
                <w:rFonts w:asciiTheme="majorHAnsi" w:hAnsiTheme="majorHAnsi"/>
                <w:noProof/>
              </w:rPr>
              <w:t>Bestmögliche Ausführung von Kundenaufträgen</w:t>
            </w:r>
            <w:r w:rsidR="00DE6E9C" w:rsidRPr="004701C4">
              <w:rPr>
                <w:rFonts w:asciiTheme="majorHAnsi" w:hAnsiTheme="majorHAnsi"/>
                <w:noProof/>
                <w:webHidden/>
              </w:rPr>
              <w:tab/>
            </w:r>
            <w:r w:rsidR="00DE6E9C" w:rsidRPr="004701C4">
              <w:rPr>
                <w:rFonts w:asciiTheme="majorHAnsi" w:hAnsiTheme="majorHAnsi"/>
                <w:noProof/>
                <w:webHidden/>
              </w:rPr>
              <w:fldChar w:fldCharType="begin"/>
            </w:r>
            <w:r w:rsidR="00DE6E9C" w:rsidRPr="004701C4">
              <w:rPr>
                <w:rFonts w:asciiTheme="majorHAnsi" w:hAnsiTheme="majorHAnsi"/>
                <w:noProof/>
                <w:webHidden/>
              </w:rPr>
              <w:instrText xml:space="preserve"> PAGEREF _Toc74047619 \h </w:instrText>
            </w:r>
            <w:r w:rsidR="00DE6E9C" w:rsidRPr="004701C4">
              <w:rPr>
                <w:rFonts w:asciiTheme="majorHAnsi" w:hAnsiTheme="majorHAnsi"/>
                <w:noProof/>
                <w:webHidden/>
              </w:rPr>
            </w:r>
            <w:r w:rsidR="00DE6E9C" w:rsidRPr="004701C4">
              <w:rPr>
                <w:rFonts w:asciiTheme="majorHAnsi" w:hAnsiTheme="majorHAnsi"/>
                <w:noProof/>
                <w:webHidden/>
              </w:rPr>
              <w:fldChar w:fldCharType="separate"/>
            </w:r>
            <w:r>
              <w:rPr>
                <w:rFonts w:asciiTheme="majorHAnsi" w:hAnsiTheme="majorHAnsi"/>
                <w:noProof/>
                <w:webHidden/>
              </w:rPr>
              <w:t>7</w:t>
            </w:r>
            <w:r w:rsidR="00DE6E9C" w:rsidRPr="004701C4">
              <w:rPr>
                <w:rFonts w:asciiTheme="majorHAnsi" w:hAnsiTheme="majorHAnsi"/>
                <w:noProof/>
                <w:webHidden/>
              </w:rPr>
              <w:fldChar w:fldCharType="end"/>
            </w:r>
          </w:hyperlink>
        </w:p>
        <w:p w14:paraId="076974FE" w14:textId="2EBD0A23" w:rsidR="00DE6E9C" w:rsidRPr="004701C4" w:rsidRDefault="002C007B">
          <w:pPr>
            <w:pStyle w:val="Verzeichnis2"/>
            <w:tabs>
              <w:tab w:val="left" w:pos="880"/>
              <w:tab w:val="right" w:leader="dot" w:pos="9060"/>
            </w:tabs>
            <w:rPr>
              <w:rFonts w:asciiTheme="majorHAnsi" w:eastAsiaTheme="minorEastAsia" w:hAnsiTheme="majorHAnsi"/>
              <w:noProof/>
              <w:lang w:eastAsia="de-CH"/>
            </w:rPr>
          </w:pPr>
          <w:hyperlink w:anchor="_Toc74047620" w:history="1">
            <w:r w:rsidR="00DE6E9C" w:rsidRPr="004701C4">
              <w:rPr>
                <w:rStyle w:val="Hyperlink"/>
                <w:rFonts w:asciiTheme="majorHAnsi" w:hAnsiTheme="majorHAnsi"/>
                <w:bCs/>
                <w:noProof/>
                <w14:scene3d>
                  <w14:camera w14:prst="orthographicFront"/>
                  <w14:lightRig w14:rig="threePt" w14:dir="t">
                    <w14:rot w14:lat="0" w14:lon="0" w14:rev="0"/>
                  </w14:lightRig>
                </w14:scene3d>
              </w:rPr>
              <w:t>2.6</w:t>
            </w:r>
            <w:r w:rsidR="00DE6E9C" w:rsidRPr="004701C4">
              <w:rPr>
                <w:rFonts w:asciiTheme="majorHAnsi" w:eastAsiaTheme="minorEastAsia" w:hAnsiTheme="majorHAnsi"/>
                <w:noProof/>
                <w:lang w:eastAsia="de-CH"/>
              </w:rPr>
              <w:tab/>
            </w:r>
            <w:r w:rsidR="00DE6E9C" w:rsidRPr="004701C4">
              <w:rPr>
                <w:rStyle w:val="Hyperlink"/>
                <w:rFonts w:asciiTheme="majorHAnsi" w:hAnsiTheme="majorHAnsi"/>
                <w:noProof/>
              </w:rPr>
              <w:t>Ausübung von Stimmrechten</w:t>
            </w:r>
            <w:r w:rsidR="00DE6E9C" w:rsidRPr="004701C4">
              <w:rPr>
                <w:rFonts w:asciiTheme="majorHAnsi" w:hAnsiTheme="majorHAnsi"/>
                <w:noProof/>
                <w:webHidden/>
              </w:rPr>
              <w:tab/>
            </w:r>
            <w:r w:rsidR="00DE6E9C" w:rsidRPr="004701C4">
              <w:rPr>
                <w:rFonts w:asciiTheme="majorHAnsi" w:hAnsiTheme="majorHAnsi"/>
                <w:noProof/>
                <w:webHidden/>
              </w:rPr>
              <w:fldChar w:fldCharType="begin"/>
            </w:r>
            <w:r w:rsidR="00DE6E9C" w:rsidRPr="004701C4">
              <w:rPr>
                <w:rFonts w:asciiTheme="majorHAnsi" w:hAnsiTheme="majorHAnsi"/>
                <w:noProof/>
                <w:webHidden/>
              </w:rPr>
              <w:instrText xml:space="preserve"> PAGEREF _Toc74047620 \h </w:instrText>
            </w:r>
            <w:r w:rsidR="00DE6E9C" w:rsidRPr="004701C4">
              <w:rPr>
                <w:rFonts w:asciiTheme="majorHAnsi" w:hAnsiTheme="majorHAnsi"/>
                <w:noProof/>
                <w:webHidden/>
              </w:rPr>
            </w:r>
            <w:r w:rsidR="00DE6E9C" w:rsidRPr="004701C4">
              <w:rPr>
                <w:rFonts w:asciiTheme="majorHAnsi" w:hAnsiTheme="majorHAnsi"/>
                <w:noProof/>
                <w:webHidden/>
              </w:rPr>
              <w:fldChar w:fldCharType="separate"/>
            </w:r>
            <w:r>
              <w:rPr>
                <w:rFonts w:asciiTheme="majorHAnsi" w:hAnsiTheme="majorHAnsi"/>
                <w:noProof/>
                <w:webHidden/>
              </w:rPr>
              <w:t>7</w:t>
            </w:r>
            <w:r w:rsidR="00DE6E9C" w:rsidRPr="004701C4">
              <w:rPr>
                <w:rFonts w:asciiTheme="majorHAnsi" w:hAnsiTheme="majorHAnsi"/>
                <w:noProof/>
                <w:webHidden/>
              </w:rPr>
              <w:fldChar w:fldCharType="end"/>
            </w:r>
          </w:hyperlink>
        </w:p>
        <w:p w14:paraId="73B9FAC7" w14:textId="59B783E3" w:rsidR="00DE6E9C" w:rsidRPr="004701C4" w:rsidRDefault="002C007B">
          <w:pPr>
            <w:pStyle w:val="Verzeichnis2"/>
            <w:tabs>
              <w:tab w:val="left" w:pos="880"/>
              <w:tab w:val="right" w:leader="dot" w:pos="9060"/>
            </w:tabs>
            <w:rPr>
              <w:rFonts w:asciiTheme="majorHAnsi" w:eastAsiaTheme="minorEastAsia" w:hAnsiTheme="majorHAnsi"/>
              <w:noProof/>
              <w:lang w:eastAsia="de-CH"/>
            </w:rPr>
          </w:pPr>
          <w:hyperlink w:anchor="_Toc74047621" w:history="1">
            <w:r w:rsidR="00DE6E9C" w:rsidRPr="004701C4">
              <w:rPr>
                <w:rStyle w:val="Hyperlink"/>
                <w:rFonts w:asciiTheme="majorHAnsi" w:hAnsiTheme="majorHAnsi"/>
                <w:bCs/>
                <w:noProof/>
                <w14:scene3d>
                  <w14:camera w14:prst="orthographicFront"/>
                  <w14:lightRig w14:rig="threePt" w14:dir="t">
                    <w14:rot w14:lat="0" w14:lon="0" w14:rev="0"/>
                  </w14:lightRig>
                </w14:scene3d>
              </w:rPr>
              <w:t>2.7</w:t>
            </w:r>
            <w:r w:rsidR="00DE6E9C" w:rsidRPr="004701C4">
              <w:rPr>
                <w:rFonts w:asciiTheme="majorHAnsi" w:eastAsiaTheme="minorEastAsia" w:hAnsiTheme="majorHAnsi"/>
                <w:noProof/>
                <w:lang w:eastAsia="de-CH"/>
              </w:rPr>
              <w:tab/>
            </w:r>
            <w:r w:rsidR="00DE6E9C" w:rsidRPr="004701C4">
              <w:rPr>
                <w:rStyle w:val="Hyperlink"/>
                <w:rFonts w:asciiTheme="majorHAnsi" w:hAnsiTheme="majorHAnsi"/>
                <w:noProof/>
              </w:rPr>
              <w:t>Allfällige Meldepflicht bei Beteiligungserwerb</w:t>
            </w:r>
            <w:r w:rsidR="00DE6E9C" w:rsidRPr="004701C4">
              <w:rPr>
                <w:rFonts w:asciiTheme="majorHAnsi" w:hAnsiTheme="majorHAnsi"/>
                <w:noProof/>
                <w:webHidden/>
              </w:rPr>
              <w:tab/>
            </w:r>
            <w:r w:rsidR="00DE6E9C" w:rsidRPr="004701C4">
              <w:rPr>
                <w:rFonts w:asciiTheme="majorHAnsi" w:hAnsiTheme="majorHAnsi"/>
                <w:noProof/>
                <w:webHidden/>
              </w:rPr>
              <w:fldChar w:fldCharType="begin"/>
            </w:r>
            <w:r w:rsidR="00DE6E9C" w:rsidRPr="004701C4">
              <w:rPr>
                <w:rFonts w:asciiTheme="majorHAnsi" w:hAnsiTheme="majorHAnsi"/>
                <w:noProof/>
                <w:webHidden/>
              </w:rPr>
              <w:instrText xml:space="preserve"> PAGEREF _Toc74047621 \h </w:instrText>
            </w:r>
            <w:r w:rsidR="00DE6E9C" w:rsidRPr="004701C4">
              <w:rPr>
                <w:rFonts w:asciiTheme="majorHAnsi" w:hAnsiTheme="majorHAnsi"/>
                <w:noProof/>
                <w:webHidden/>
              </w:rPr>
            </w:r>
            <w:r w:rsidR="00DE6E9C" w:rsidRPr="004701C4">
              <w:rPr>
                <w:rFonts w:asciiTheme="majorHAnsi" w:hAnsiTheme="majorHAnsi"/>
                <w:noProof/>
                <w:webHidden/>
              </w:rPr>
              <w:fldChar w:fldCharType="separate"/>
            </w:r>
            <w:r>
              <w:rPr>
                <w:rFonts w:asciiTheme="majorHAnsi" w:hAnsiTheme="majorHAnsi"/>
                <w:noProof/>
                <w:webHidden/>
              </w:rPr>
              <w:t>7</w:t>
            </w:r>
            <w:r w:rsidR="00DE6E9C" w:rsidRPr="004701C4">
              <w:rPr>
                <w:rFonts w:asciiTheme="majorHAnsi" w:hAnsiTheme="majorHAnsi"/>
                <w:noProof/>
                <w:webHidden/>
              </w:rPr>
              <w:fldChar w:fldCharType="end"/>
            </w:r>
          </w:hyperlink>
        </w:p>
        <w:p w14:paraId="40D6A193" w14:textId="1919ABEF" w:rsidR="00DE6E9C" w:rsidRPr="004701C4" w:rsidRDefault="002C007B">
          <w:pPr>
            <w:pStyle w:val="Verzeichnis1"/>
            <w:tabs>
              <w:tab w:val="left" w:pos="440"/>
              <w:tab w:val="right" w:leader="dot" w:pos="9060"/>
            </w:tabs>
            <w:rPr>
              <w:rFonts w:asciiTheme="majorHAnsi" w:eastAsiaTheme="minorEastAsia" w:hAnsiTheme="majorHAnsi"/>
              <w:noProof/>
              <w:lang w:eastAsia="de-CH"/>
            </w:rPr>
          </w:pPr>
          <w:hyperlink w:anchor="_Toc74047622" w:history="1">
            <w:r w:rsidR="00DE6E9C" w:rsidRPr="004701C4">
              <w:rPr>
                <w:rStyle w:val="Hyperlink"/>
                <w:rFonts w:asciiTheme="majorHAnsi" w:hAnsiTheme="majorHAnsi"/>
                <w:noProof/>
                <w14:scene3d>
                  <w14:camera w14:prst="orthographicFront"/>
                  <w14:lightRig w14:rig="threePt" w14:dir="t">
                    <w14:rot w14:lat="0" w14:lon="0" w14:rev="0"/>
                  </w14:lightRig>
                </w14:scene3d>
              </w:rPr>
              <w:t>3</w:t>
            </w:r>
            <w:r w:rsidR="00DE6E9C" w:rsidRPr="004701C4">
              <w:rPr>
                <w:rFonts w:asciiTheme="majorHAnsi" w:eastAsiaTheme="minorEastAsia" w:hAnsiTheme="majorHAnsi"/>
                <w:noProof/>
                <w:lang w:eastAsia="de-CH"/>
              </w:rPr>
              <w:tab/>
            </w:r>
            <w:r w:rsidR="00DE6E9C" w:rsidRPr="004701C4">
              <w:rPr>
                <w:rStyle w:val="Hyperlink"/>
                <w:rFonts w:asciiTheme="majorHAnsi" w:hAnsiTheme="majorHAnsi"/>
                <w:noProof/>
              </w:rPr>
              <w:t>Informationen über Interessenkonflikte</w:t>
            </w:r>
            <w:r w:rsidR="00DE6E9C" w:rsidRPr="004701C4">
              <w:rPr>
                <w:rFonts w:asciiTheme="majorHAnsi" w:hAnsiTheme="majorHAnsi"/>
                <w:noProof/>
                <w:webHidden/>
              </w:rPr>
              <w:tab/>
            </w:r>
            <w:r w:rsidR="00DE6E9C" w:rsidRPr="004701C4">
              <w:rPr>
                <w:rFonts w:asciiTheme="majorHAnsi" w:hAnsiTheme="majorHAnsi"/>
                <w:noProof/>
                <w:webHidden/>
              </w:rPr>
              <w:fldChar w:fldCharType="begin"/>
            </w:r>
            <w:r w:rsidR="00DE6E9C" w:rsidRPr="004701C4">
              <w:rPr>
                <w:rFonts w:asciiTheme="majorHAnsi" w:hAnsiTheme="majorHAnsi"/>
                <w:noProof/>
                <w:webHidden/>
              </w:rPr>
              <w:instrText xml:space="preserve"> PAGEREF _Toc74047622 \h </w:instrText>
            </w:r>
            <w:r w:rsidR="00DE6E9C" w:rsidRPr="004701C4">
              <w:rPr>
                <w:rFonts w:asciiTheme="majorHAnsi" w:hAnsiTheme="majorHAnsi"/>
                <w:noProof/>
                <w:webHidden/>
              </w:rPr>
            </w:r>
            <w:r w:rsidR="00DE6E9C" w:rsidRPr="004701C4">
              <w:rPr>
                <w:rFonts w:asciiTheme="majorHAnsi" w:hAnsiTheme="majorHAnsi"/>
                <w:noProof/>
                <w:webHidden/>
              </w:rPr>
              <w:fldChar w:fldCharType="separate"/>
            </w:r>
            <w:r>
              <w:rPr>
                <w:rFonts w:asciiTheme="majorHAnsi" w:hAnsiTheme="majorHAnsi"/>
                <w:noProof/>
                <w:webHidden/>
              </w:rPr>
              <w:t>8</w:t>
            </w:r>
            <w:r w:rsidR="00DE6E9C" w:rsidRPr="004701C4">
              <w:rPr>
                <w:rFonts w:asciiTheme="majorHAnsi" w:hAnsiTheme="majorHAnsi"/>
                <w:noProof/>
                <w:webHidden/>
              </w:rPr>
              <w:fldChar w:fldCharType="end"/>
            </w:r>
          </w:hyperlink>
        </w:p>
        <w:p w14:paraId="050152DB" w14:textId="6F06B800" w:rsidR="00DE6E9C" w:rsidRPr="004701C4" w:rsidRDefault="002C007B">
          <w:pPr>
            <w:pStyle w:val="Verzeichnis1"/>
            <w:tabs>
              <w:tab w:val="left" w:pos="440"/>
              <w:tab w:val="right" w:leader="dot" w:pos="9060"/>
            </w:tabs>
            <w:rPr>
              <w:rFonts w:asciiTheme="majorHAnsi" w:eastAsiaTheme="minorEastAsia" w:hAnsiTheme="majorHAnsi"/>
              <w:noProof/>
              <w:lang w:eastAsia="de-CH"/>
            </w:rPr>
          </w:pPr>
          <w:hyperlink w:anchor="_Toc74047623" w:history="1">
            <w:r w:rsidR="00DE6E9C" w:rsidRPr="004701C4">
              <w:rPr>
                <w:rStyle w:val="Hyperlink"/>
                <w:rFonts w:asciiTheme="majorHAnsi" w:hAnsiTheme="majorHAnsi"/>
                <w:noProof/>
                <w14:scene3d>
                  <w14:camera w14:prst="orthographicFront"/>
                  <w14:lightRig w14:rig="threePt" w14:dir="t">
                    <w14:rot w14:lat="0" w14:lon="0" w14:rev="0"/>
                  </w14:lightRig>
                </w14:scene3d>
              </w:rPr>
              <w:t>4</w:t>
            </w:r>
            <w:r w:rsidR="00DE6E9C" w:rsidRPr="004701C4">
              <w:rPr>
                <w:rFonts w:asciiTheme="majorHAnsi" w:eastAsiaTheme="minorEastAsia" w:hAnsiTheme="majorHAnsi"/>
                <w:noProof/>
                <w:lang w:eastAsia="de-CH"/>
              </w:rPr>
              <w:tab/>
            </w:r>
            <w:r w:rsidR="00DE6E9C" w:rsidRPr="004701C4">
              <w:rPr>
                <w:rStyle w:val="Hyperlink"/>
                <w:rFonts w:asciiTheme="majorHAnsi" w:hAnsiTheme="majorHAnsi"/>
                <w:noProof/>
              </w:rPr>
              <w:t>Rechenschaftsablage der Gesellschaft gegenüber den Kunden</w:t>
            </w:r>
            <w:r w:rsidR="00DE6E9C" w:rsidRPr="004701C4">
              <w:rPr>
                <w:rFonts w:asciiTheme="majorHAnsi" w:hAnsiTheme="majorHAnsi"/>
                <w:noProof/>
                <w:webHidden/>
              </w:rPr>
              <w:tab/>
            </w:r>
            <w:r w:rsidR="00DE6E9C" w:rsidRPr="004701C4">
              <w:rPr>
                <w:rFonts w:asciiTheme="majorHAnsi" w:hAnsiTheme="majorHAnsi"/>
                <w:noProof/>
                <w:webHidden/>
              </w:rPr>
              <w:fldChar w:fldCharType="begin"/>
            </w:r>
            <w:r w:rsidR="00DE6E9C" w:rsidRPr="004701C4">
              <w:rPr>
                <w:rFonts w:asciiTheme="majorHAnsi" w:hAnsiTheme="majorHAnsi"/>
                <w:noProof/>
                <w:webHidden/>
              </w:rPr>
              <w:instrText xml:space="preserve"> PAGEREF _Toc74047623 \h </w:instrText>
            </w:r>
            <w:r w:rsidR="00DE6E9C" w:rsidRPr="004701C4">
              <w:rPr>
                <w:rFonts w:asciiTheme="majorHAnsi" w:hAnsiTheme="majorHAnsi"/>
                <w:noProof/>
                <w:webHidden/>
              </w:rPr>
            </w:r>
            <w:r w:rsidR="00DE6E9C" w:rsidRPr="004701C4">
              <w:rPr>
                <w:rFonts w:asciiTheme="majorHAnsi" w:hAnsiTheme="majorHAnsi"/>
                <w:noProof/>
                <w:webHidden/>
              </w:rPr>
              <w:fldChar w:fldCharType="separate"/>
            </w:r>
            <w:r>
              <w:rPr>
                <w:rFonts w:asciiTheme="majorHAnsi" w:hAnsiTheme="majorHAnsi"/>
                <w:noProof/>
                <w:webHidden/>
              </w:rPr>
              <w:t>9</w:t>
            </w:r>
            <w:r w:rsidR="00DE6E9C" w:rsidRPr="004701C4">
              <w:rPr>
                <w:rFonts w:asciiTheme="majorHAnsi" w:hAnsiTheme="majorHAnsi"/>
                <w:noProof/>
                <w:webHidden/>
              </w:rPr>
              <w:fldChar w:fldCharType="end"/>
            </w:r>
          </w:hyperlink>
        </w:p>
        <w:p w14:paraId="1ED455DB" w14:textId="461D1DF3" w:rsidR="00DE6E9C" w:rsidRPr="004701C4" w:rsidRDefault="002C007B">
          <w:pPr>
            <w:pStyle w:val="Verzeichnis1"/>
            <w:tabs>
              <w:tab w:val="left" w:pos="440"/>
              <w:tab w:val="right" w:leader="dot" w:pos="9060"/>
            </w:tabs>
            <w:rPr>
              <w:rFonts w:asciiTheme="majorHAnsi" w:eastAsiaTheme="minorEastAsia" w:hAnsiTheme="majorHAnsi"/>
              <w:noProof/>
              <w:lang w:eastAsia="de-CH"/>
            </w:rPr>
          </w:pPr>
          <w:hyperlink w:anchor="_Toc74047624" w:history="1">
            <w:r w:rsidR="00DE6E9C" w:rsidRPr="004701C4">
              <w:rPr>
                <w:rStyle w:val="Hyperlink"/>
                <w:rFonts w:asciiTheme="majorHAnsi" w:hAnsiTheme="majorHAnsi"/>
                <w:noProof/>
                <w14:scene3d>
                  <w14:camera w14:prst="orthographicFront"/>
                  <w14:lightRig w14:rig="threePt" w14:dir="t">
                    <w14:rot w14:lat="0" w14:lon="0" w14:rev="0"/>
                  </w14:lightRig>
                </w14:scene3d>
              </w:rPr>
              <w:t>5</w:t>
            </w:r>
            <w:r w:rsidR="00DE6E9C" w:rsidRPr="004701C4">
              <w:rPr>
                <w:rFonts w:asciiTheme="majorHAnsi" w:eastAsiaTheme="minorEastAsia" w:hAnsiTheme="majorHAnsi"/>
                <w:noProof/>
                <w:lang w:eastAsia="de-CH"/>
              </w:rPr>
              <w:tab/>
            </w:r>
            <w:r w:rsidR="00DE6E9C" w:rsidRPr="004701C4">
              <w:rPr>
                <w:rStyle w:val="Hyperlink"/>
                <w:rFonts w:asciiTheme="majorHAnsi" w:hAnsiTheme="majorHAnsi"/>
                <w:noProof/>
              </w:rPr>
              <w:t>Weitere Informationen</w:t>
            </w:r>
            <w:r w:rsidR="00DE6E9C" w:rsidRPr="004701C4">
              <w:rPr>
                <w:rFonts w:asciiTheme="majorHAnsi" w:hAnsiTheme="majorHAnsi"/>
                <w:noProof/>
                <w:webHidden/>
              </w:rPr>
              <w:tab/>
            </w:r>
            <w:r w:rsidR="00DE6E9C" w:rsidRPr="004701C4">
              <w:rPr>
                <w:rFonts w:asciiTheme="majorHAnsi" w:hAnsiTheme="majorHAnsi"/>
                <w:noProof/>
                <w:webHidden/>
              </w:rPr>
              <w:fldChar w:fldCharType="begin"/>
            </w:r>
            <w:r w:rsidR="00DE6E9C" w:rsidRPr="004701C4">
              <w:rPr>
                <w:rFonts w:asciiTheme="majorHAnsi" w:hAnsiTheme="majorHAnsi"/>
                <w:noProof/>
                <w:webHidden/>
              </w:rPr>
              <w:instrText xml:space="preserve"> PAGEREF _Toc74047624 \h </w:instrText>
            </w:r>
            <w:r w:rsidR="00DE6E9C" w:rsidRPr="004701C4">
              <w:rPr>
                <w:rFonts w:asciiTheme="majorHAnsi" w:hAnsiTheme="majorHAnsi"/>
                <w:noProof/>
                <w:webHidden/>
              </w:rPr>
            </w:r>
            <w:r w:rsidR="00DE6E9C" w:rsidRPr="004701C4">
              <w:rPr>
                <w:rFonts w:asciiTheme="majorHAnsi" w:hAnsiTheme="majorHAnsi"/>
                <w:noProof/>
                <w:webHidden/>
              </w:rPr>
              <w:fldChar w:fldCharType="separate"/>
            </w:r>
            <w:r>
              <w:rPr>
                <w:rFonts w:asciiTheme="majorHAnsi" w:hAnsiTheme="majorHAnsi"/>
                <w:noProof/>
                <w:webHidden/>
              </w:rPr>
              <w:t>10</w:t>
            </w:r>
            <w:r w:rsidR="00DE6E9C" w:rsidRPr="004701C4">
              <w:rPr>
                <w:rFonts w:asciiTheme="majorHAnsi" w:hAnsiTheme="majorHAnsi"/>
                <w:noProof/>
                <w:webHidden/>
              </w:rPr>
              <w:fldChar w:fldCharType="end"/>
            </w:r>
          </w:hyperlink>
        </w:p>
        <w:p w14:paraId="52EE722C" w14:textId="79C9CFC6" w:rsidR="00DE6E9C" w:rsidRPr="004701C4" w:rsidRDefault="002C007B">
          <w:pPr>
            <w:pStyle w:val="Verzeichnis2"/>
            <w:tabs>
              <w:tab w:val="left" w:pos="880"/>
              <w:tab w:val="right" w:leader="dot" w:pos="9060"/>
            </w:tabs>
            <w:rPr>
              <w:rFonts w:asciiTheme="majorHAnsi" w:eastAsiaTheme="minorEastAsia" w:hAnsiTheme="majorHAnsi"/>
              <w:noProof/>
              <w:lang w:eastAsia="de-CH"/>
            </w:rPr>
          </w:pPr>
          <w:hyperlink w:anchor="_Toc74047625" w:history="1">
            <w:r w:rsidR="00DE6E9C" w:rsidRPr="004701C4">
              <w:rPr>
                <w:rStyle w:val="Hyperlink"/>
                <w:rFonts w:asciiTheme="majorHAnsi" w:hAnsiTheme="majorHAnsi"/>
                <w:bCs/>
                <w:noProof/>
                <w14:scene3d>
                  <w14:camera w14:prst="orthographicFront"/>
                  <w14:lightRig w14:rig="threePt" w14:dir="t">
                    <w14:rot w14:lat="0" w14:lon="0" w14:rev="0"/>
                  </w14:lightRig>
                </w14:scene3d>
              </w:rPr>
              <w:t>5.1</w:t>
            </w:r>
            <w:r w:rsidR="00DE6E9C" w:rsidRPr="004701C4">
              <w:rPr>
                <w:rFonts w:asciiTheme="majorHAnsi" w:eastAsiaTheme="minorEastAsia" w:hAnsiTheme="majorHAnsi"/>
                <w:noProof/>
                <w:lang w:eastAsia="de-CH"/>
              </w:rPr>
              <w:tab/>
            </w:r>
            <w:r w:rsidR="00DE6E9C" w:rsidRPr="004701C4">
              <w:rPr>
                <w:rStyle w:val="Hyperlink"/>
                <w:rFonts w:asciiTheme="majorHAnsi" w:hAnsiTheme="majorHAnsi"/>
                <w:noProof/>
              </w:rPr>
              <w:t>Informationen über die Delegation von wesentlichen Dienstleistungen</w:t>
            </w:r>
            <w:r w:rsidR="00DE6E9C" w:rsidRPr="004701C4">
              <w:rPr>
                <w:rFonts w:asciiTheme="majorHAnsi" w:hAnsiTheme="majorHAnsi"/>
                <w:noProof/>
                <w:webHidden/>
              </w:rPr>
              <w:tab/>
            </w:r>
            <w:r w:rsidR="00DE6E9C" w:rsidRPr="004701C4">
              <w:rPr>
                <w:rFonts w:asciiTheme="majorHAnsi" w:hAnsiTheme="majorHAnsi"/>
                <w:noProof/>
                <w:webHidden/>
              </w:rPr>
              <w:fldChar w:fldCharType="begin"/>
            </w:r>
            <w:r w:rsidR="00DE6E9C" w:rsidRPr="004701C4">
              <w:rPr>
                <w:rFonts w:asciiTheme="majorHAnsi" w:hAnsiTheme="majorHAnsi"/>
                <w:noProof/>
                <w:webHidden/>
              </w:rPr>
              <w:instrText xml:space="preserve"> PAGEREF _Toc74047625 \h </w:instrText>
            </w:r>
            <w:r w:rsidR="00DE6E9C" w:rsidRPr="004701C4">
              <w:rPr>
                <w:rFonts w:asciiTheme="majorHAnsi" w:hAnsiTheme="majorHAnsi"/>
                <w:noProof/>
                <w:webHidden/>
              </w:rPr>
            </w:r>
            <w:r w:rsidR="00DE6E9C" w:rsidRPr="004701C4">
              <w:rPr>
                <w:rFonts w:asciiTheme="majorHAnsi" w:hAnsiTheme="majorHAnsi"/>
                <w:noProof/>
                <w:webHidden/>
              </w:rPr>
              <w:fldChar w:fldCharType="separate"/>
            </w:r>
            <w:r>
              <w:rPr>
                <w:rFonts w:asciiTheme="majorHAnsi" w:hAnsiTheme="majorHAnsi"/>
                <w:noProof/>
                <w:webHidden/>
              </w:rPr>
              <w:t>10</w:t>
            </w:r>
            <w:r w:rsidR="00DE6E9C" w:rsidRPr="004701C4">
              <w:rPr>
                <w:rFonts w:asciiTheme="majorHAnsi" w:hAnsiTheme="majorHAnsi"/>
                <w:noProof/>
                <w:webHidden/>
              </w:rPr>
              <w:fldChar w:fldCharType="end"/>
            </w:r>
          </w:hyperlink>
        </w:p>
        <w:p w14:paraId="209EE3FE" w14:textId="5E35A387" w:rsidR="00DE6E9C" w:rsidRPr="004701C4" w:rsidRDefault="002C007B">
          <w:pPr>
            <w:pStyle w:val="Verzeichnis2"/>
            <w:tabs>
              <w:tab w:val="left" w:pos="880"/>
              <w:tab w:val="right" w:leader="dot" w:pos="9060"/>
            </w:tabs>
            <w:rPr>
              <w:rFonts w:asciiTheme="majorHAnsi" w:eastAsiaTheme="minorEastAsia" w:hAnsiTheme="majorHAnsi"/>
              <w:noProof/>
              <w:lang w:eastAsia="de-CH"/>
            </w:rPr>
          </w:pPr>
          <w:hyperlink w:anchor="_Toc74047626" w:history="1">
            <w:r w:rsidR="00DE6E9C" w:rsidRPr="004701C4">
              <w:rPr>
                <w:rStyle w:val="Hyperlink"/>
                <w:rFonts w:asciiTheme="majorHAnsi" w:hAnsiTheme="majorHAnsi"/>
                <w:bCs/>
                <w:noProof/>
                <w14:scene3d>
                  <w14:camera w14:prst="orthographicFront"/>
                  <w14:lightRig w14:rig="threePt" w14:dir="t">
                    <w14:rot w14:lat="0" w14:lon="0" w14:rev="0"/>
                  </w14:lightRig>
                </w14:scene3d>
              </w:rPr>
              <w:t>5.2</w:t>
            </w:r>
            <w:r w:rsidR="00DE6E9C" w:rsidRPr="004701C4">
              <w:rPr>
                <w:rFonts w:asciiTheme="majorHAnsi" w:eastAsiaTheme="minorEastAsia" w:hAnsiTheme="majorHAnsi"/>
                <w:noProof/>
                <w:lang w:eastAsia="de-CH"/>
              </w:rPr>
              <w:tab/>
            </w:r>
            <w:r w:rsidR="00DE6E9C" w:rsidRPr="004701C4">
              <w:rPr>
                <w:rStyle w:val="Hyperlink"/>
                <w:rFonts w:asciiTheme="majorHAnsi" w:hAnsiTheme="majorHAnsi"/>
                <w:noProof/>
              </w:rPr>
              <w:t>Informationen zur Informationserhebung, Datenbearbeitung und Kundenklassierung</w:t>
            </w:r>
            <w:r w:rsidR="00DE6E9C" w:rsidRPr="004701C4">
              <w:rPr>
                <w:rFonts w:asciiTheme="majorHAnsi" w:hAnsiTheme="majorHAnsi"/>
                <w:noProof/>
                <w:webHidden/>
              </w:rPr>
              <w:tab/>
            </w:r>
            <w:r w:rsidR="00DE6E9C" w:rsidRPr="004701C4">
              <w:rPr>
                <w:rFonts w:asciiTheme="majorHAnsi" w:hAnsiTheme="majorHAnsi"/>
                <w:noProof/>
                <w:webHidden/>
              </w:rPr>
              <w:fldChar w:fldCharType="begin"/>
            </w:r>
            <w:r w:rsidR="00DE6E9C" w:rsidRPr="004701C4">
              <w:rPr>
                <w:rFonts w:asciiTheme="majorHAnsi" w:hAnsiTheme="majorHAnsi"/>
                <w:noProof/>
                <w:webHidden/>
              </w:rPr>
              <w:instrText xml:space="preserve"> PAGEREF _Toc74047626 \h </w:instrText>
            </w:r>
            <w:r w:rsidR="00DE6E9C" w:rsidRPr="004701C4">
              <w:rPr>
                <w:rFonts w:asciiTheme="majorHAnsi" w:hAnsiTheme="majorHAnsi"/>
                <w:noProof/>
                <w:webHidden/>
              </w:rPr>
            </w:r>
            <w:r w:rsidR="00DE6E9C" w:rsidRPr="004701C4">
              <w:rPr>
                <w:rFonts w:asciiTheme="majorHAnsi" w:hAnsiTheme="majorHAnsi"/>
                <w:noProof/>
                <w:webHidden/>
              </w:rPr>
              <w:fldChar w:fldCharType="separate"/>
            </w:r>
            <w:r>
              <w:rPr>
                <w:rFonts w:asciiTheme="majorHAnsi" w:hAnsiTheme="majorHAnsi"/>
                <w:noProof/>
                <w:webHidden/>
              </w:rPr>
              <w:t>10</w:t>
            </w:r>
            <w:r w:rsidR="00DE6E9C" w:rsidRPr="004701C4">
              <w:rPr>
                <w:rFonts w:asciiTheme="majorHAnsi" w:hAnsiTheme="majorHAnsi"/>
                <w:noProof/>
                <w:webHidden/>
              </w:rPr>
              <w:fldChar w:fldCharType="end"/>
            </w:r>
          </w:hyperlink>
        </w:p>
        <w:p w14:paraId="0A9D513B" w14:textId="0EE3C02A" w:rsidR="00DE6E9C" w:rsidRPr="004701C4" w:rsidRDefault="002C007B">
          <w:pPr>
            <w:pStyle w:val="Verzeichnis2"/>
            <w:tabs>
              <w:tab w:val="left" w:pos="880"/>
              <w:tab w:val="right" w:leader="dot" w:pos="9060"/>
            </w:tabs>
            <w:rPr>
              <w:rFonts w:asciiTheme="majorHAnsi" w:eastAsiaTheme="minorEastAsia" w:hAnsiTheme="majorHAnsi"/>
              <w:noProof/>
              <w:lang w:eastAsia="de-CH"/>
            </w:rPr>
          </w:pPr>
          <w:hyperlink w:anchor="_Toc74047627" w:history="1">
            <w:r w:rsidR="00DE6E9C" w:rsidRPr="004701C4">
              <w:rPr>
                <w:rStyle w:val="Hyperlink"/>
                <w:rFonts w:asciiTheme="majorHAnsi" w:hAnsiTheme="majorHAnsi"/>
                <w:bCs/>
                <w:noProof/>
                <w14:scene3d>
                  <w14:camera w14:prst="orthographicFront"/>
                  <w14:lightRig w14:rig="threePt" w14:dir="t">
                    <w14:rot w14:lat="0" w14:lon="0" w14:rev="0"/>
                  </w14:lightRig>
                </w14:scene3d>
              </w:rPr>
              <w:t>5.3</w:t>
            </w:r>
            <w:r w:rsidR="00DE6E9C" w:rsidRPr="004701C4">
              <w:rPr>
                <w:rFonts w:asciiTheme="majorHAnsi" w:eastAsiaTheme="minorEastAsia" w:hAnsiTheme="majorHAnsi"/>
                <w:noProof/>
                <w:lang w:eastAsia="de-CH"/>
              </w:rPr>
              <w:tab/>
            </w:r>
            <w:r w:rsidR="00DE6E9C" w:rsidRPr="004701C4">
              <w:rPr>
                <w:rStyle w:val="Hyperlink"/>
                <w:rFonts w:asciiTheme="majorHAnsi" w:hAnsiTheme="majorHAnsi"/>
                <w:noProof/>
              </w:rPr>
              <w:t>Kundeninformation nach dem Bundesgesetz über kollektive Anlagen (KAG)</w:t>
            </w:r>
            <w:r w:rsidR="00DE6E9C" w:rsidRPr="004701C4">
              <w:rPr>
                <w:rFonts w:asciiTheme="majorHAnsi" w:hAnsiTheme="majorHAnsi"/>
                <w:noProof/>
                <w:webHidden/>
              </w:rPr>
              <w:tab/>
            </w:r>
            <w:r w:rsidR="00DE6E9C" w:rsidRPr="004701C4">
              <w:rPr>
                <w:rFonts w:asciiTheme="majorHAnsi" w:hAnsiTheme="majorHAnsi"/>
                <w:noProof/>
                <w:webHidden/>
              </w:rPr>
              <w:fldChar w:fldCharType="begin"/>
            </w:r>
            <w:r w:rsidR="00DE6E9C" w:rsidRPr="004701C4">
              <w:rPr>
                <w:rFonts w:asciiTheme="majorHAnsi" w:hAnsiTheme="majorHAnsi"/>
                <w:noProof/>
                <w:webHidden/>
              </w:rPr>
              <w:instrText xml:space="preserve"> PAGEREF _Toc74047627 \h </w:instrText>
            </w:r>
            <w:r w:rsidR="00DE6E9C" w:rsidRPr="004701C4">
              <w:rPr>
                <w:rFonts w:asciiTheme="majorHAnsi" w:hAnsiTheme="majorHAnsi"/>
                <w:noProof/>
                <w:webHidden/>
              </w:rPr>
            </w:r>
            <w:r w:rsidR="00DE6E9C" w:rsidRPr="004701C4">
              <w:rPr>
                <w:rFonts w:asciiTheme="majorHAnsi" w:hAnsiTheme="majorHAnsi"/>
                <w:noProof/>
                <w:webHidden/>
              </w:rPr>
              <w:fldChar w:fldCharType="separate"/>
            </w:r>
            <w:r>
              <w:rPr>
                <w:rFonts w:asciiTheme="majorHAnsi" w:hAnsiTheme="majorHAnsi"/>
                <w:noProof/>
                <w:webHidden/>
              </w:rPr>
              <w:t>10</w:t>
            </w:r>
            <w:r w:rsidR="00DE6E9C" w:rsidRPr="004701C4">
              <w:rPr>
                <w:rFonts w:asciiTheme="majorHAnsi" w:hAnsiTheme="majorHAnsi"/>
                <w:noProof/>
                <w:webHidden/>
              </w:rPr>
              <w:fldChar w:fldCharType="end"/>
            </w:r>
          </w:hyperlink>
        </w:p>
        <w:p w14:paraId="504202A0" w14:textId="5777ADED" w:rsidR="00DE6E9C" w:rsidRPr="004701C4" w:rsidRDefault="002C007B">
          <w:pPr>
            <w:pStyle w:val="Verzeichnis2"/>
            <w:tabs>
              <w:tab w:val="left" w:pos="880"/>
              <w:tab w:val="right" w:leader="dot" w:pos="9060"/>
            </w:tabs>
            <w:rPr>
              <w:rFonts w:asciiTheme="majorHAnsi" w:eastAsiaTheme="minorEastAsia" w:hAnsiTheme="majorHAnsi"/>
              <w:noProof/>
              <w:lang w:eastAsia="de-CH"/>
            </w:rPr>
          </w:pPr>
          <w:hyperlink w:anchor="_Toc74047628" w:history="1">
            <w:r w:rsidR="00DE6E9C" w:rsidRPr="004701C4">
              <w:rPr>
                <w:rStyle w:val="Hyperlink"/>
                <w:rFonts w:asciiTheme="majorHAnsi" w:hAnsiTheme="majorHAnsi"/>
                <w:bCs/>
                <w:noProof/>
                <w14:scene3d>
                  <w14:camera w14:prst="orthographicFront"/>
                  <w14:lightRig w14:rig="threePt" w14:dir="t">
                    <w14:rot w14:lat="0" w14:lon="0" w14:rev="0"/>
                  </w14:lightRig>
                </w14:scene3d>
              </w:rPr>
              <w:t>5.4</w:t>
            </w:r>
            <w:r w:rsidR="00DE6E9C" w:rsidRPr="004701C4">
              <w:rPr>
                <w:rFonts w:asciiTheme="majorHAnsi" w:eastAsiaTheme="minorEastAsia" w:hAnsiTheme="majorHAnsi"/>
                <w:noProof/>
                <w:lang w:eastAsia="de-CH"/>
              </w:rPr>
              <w:tab/>
            </w:r>
            <w:r w:rsidR="00DE6E9C" w:rsidRPr="004701C4">
              <w:rPr>
                <w:rStyle w:val="Hyperlink"/>
                <w:rFonts w:asciiTheme="majorHAnsi" w:hAnsiTheme="majorHAnsi"/>
                <w:noProof/>
              </w:rPr>
              <w:t>Nachrichtlose Vermögen</w:t>
            </w:r>
            <w:r w:rsidR="00DE6E9C" w:rsidRPr="004701C4">
              <w:rPr>
                <w:rFonts w:asciiTheme="majorHAnsi" w:hAnsiTheme="majorHAnsi"/>
                <w:noProof/>
                <w:webHidden/>
              </w:rPr>
              <w:tab/>
            </w:r>
            <w:r w:rsidR="00DE6E9C" w:rsidRPr="004701C4">
              <w:rPr>
                <w:rFonts w:asciiTheme="majorHAnsi" w:hAnsiTheme="majorHAnsi"/>
                <w:noProof/>
                <w:webHidden/>
              </w:rPr>
              <w:fldChar w:fldCharType="begin"/>
            </w:r>
            <w:r w:rsidR="00DE6E9C" w:rsidRPr="004701C4">
              <w:rPr>
                <w:rFonts w:asciiTheme="majorHAnsi" w:hAnsiTheme="majorHAnsi"/>
                <w:noProof/>
                <w:webHidden/>
              </w:rPr>
              <w:instrText xml:space="preserve"> PAGEREF _Toc74047628 \h </w:instrText>
            </w:r>
            <w:r w:rsidR="00DE6E9C" w:rsidRPr="004701C4">
              <w:rPr>
                <w:rFonts w:asciiTheme="majorHAnsi" w:hAnsiTheme="majorHAnsi"/>
                <w:noProof/>
                <w:webHidden/>
              </w:rPr>
            </w:r>
            <w:r w:rsidR="00DE6E9C" w:rsidRPr="004701C4">
              <w:rPr>
                <w:rFonts w:asciiTheme="majorHAnsi" w:hAnsiTheme="majorHAnsi"/>
                <w:noProof/>
                <w:webHidden/>
              </w:rPr>
              <w:fldChar w:fldCharType="separate"/>
            </w:r>
            <w:r>
              <w:rPr>
                <w:rFonts w:asciiTheme="majorHAnsi" w:hAnsiTheme="majorHAnsi"/>
                <w:noProof/>
                <w:webHidden/>
              </w:rPr>
              <w:t>11</w:t>
            </w:r>
            <w:r w:rsidR="00DE6E9C" w:rsidRPr="004701C4">
              <w:rPr>
                <w:rFonts w:asciiTheme="majorHAnsi" w:hAnsiTheme="majorHAnsi"/>
                <w:noProof/>
                <w:webHidden/>
              </w:rPr>
              <w:fldChar w:fldCharType="end"/>
            </w:r>
          </w:hyperlink>
        </w:p>
        <w:p w14:paraId="0F6B84D3" w14:textId="45BEB5A9" w:rsidR="00DE6E9C" w:rsidRPr="004701C4" w:rsidRDefault="002C007B">
          <w:pPr>
            <w:pStyle w:val="Verzeichnis2"/>
            <w:tabs>
              <w:tab w:val="left" w:pos="880"/>
              <w:tab w:val="right" w:leader="dot" w:pos="9060"/>
            </w:tabs>
            <w:rPr>
              <w:rFonts w:asciiTheme="majorHAnsi" w:eastAsiaTheme="minorEastAsia" w:hAnsiTheme="majorHAnsi"/>
              <w:noProof/>
              <w:lang w:eastAsia="de-CH"/>
            </w:rPr>
          </w:pPr>
          <w:hyperlink w:anchor="_Toc74047629" w:history="1">
            <w:r w:rsidR="00DE6E9C" w:rsidRPr="004701C4">
              <w:rPr>
                <w:rStyle w:val="Hyperlink"/>
                <w:rFonts w:asciiTheme="majorHAnsi" w:hAnsiTheme="majorHAnsi"/>
                <w:bCs/>
                <w:noProof/>
                <w14:scene3d>
                  <w14:camera w14:prst="orthographicFront"/>
                  <w14:lightRig w14:rig="threePt" w14:dir="t">
                    <w14:rot w14:lat="0" w14:lon="0" w14:rev="0"/>
                  </w14:lightRig>
                </w14:scene3d>
              </w:rPr>
              <w:t>5.5</w:t>
            </w:r>
            <w:r w:rsidR="00DE6E9C" w:rsidRPr="004701C4">
              <w:rPr>
                <w:rFonts w:asciiTheme="majorHAnsi" w:eastAsiaTheme="minorEastAsia" w:hAnsiTheme="majorHAnsi"/>
                <w:noProof/>
                <w:lang w:eastAsia="de-CH"/>
              </w:rPr>
              <w:tab/>
            </w:r>
            <w:r w:rsidR="00DE6E9C" w:rsidRPr="004701C4">
              <w:rPr>
                <w:rStyle w:val="Hyperlink"/>
                <w:rFonts w:asciiTheme="majorHAnsi" w:hAnsiTheme="majorHAnsi"/>
                <w:noProof/>
              </w:rPr>
              <w:t>Kundenbeschwerden / Ombudsstelle</w:t>
            </w:r>
            <w:r w:rsidR="00DE6E9C" w:rsidRPr="004701C4">
              <w:rPr>
                <w:rFonts w:asciiTheme="majorHAnsi" w:hAnsiTheme="majorHAnsi"/>
                <w:noProof/>
                <w:webHidden/>
              </w:rPr>
              <w:tab/>
            </w:r>
            <w:r w:rsidR="00DE6E9C" w:rsidRPr="004701C4">
              <w:rPr>
                <w:rFonts w:asciiTheme="majorHAnsi" w:hAnsiTheme="majorHAnsi"/>
                <w:noProof/>
                <w:webHidden/>
              </w:rPr>
              <w:fldChar w:fldCharType="begin"/>
            </w:r>
            <w:r w:rsidR="00DE6E9C" w:rsidRPr="004701C4">
              <w:rPr>
                <w:rFonts w:asciiTheme="majorHAnsi" w:hAnsiTheme="majorHAnsi"/>
                <w:noProof/>
                <w:webHidden/>
              </w:rPr>
              <w:instrText xml:space="preserve"> PAGEREF _Toc74047629 \h </w:instrText>
            </w:r>
            <w:r w:rsidR="00DE6E9C" w:rsidRPr="004701C4">
              <w:rPr>
                <w:rFonts w:asciiTheme="majorHAnsi" w:hAnsiTheme="majorHAnsi"/>
                <w:noProof/>
                <w:webHidden/>
              </w:rPr>
            </w:r>
            <w:r w:rsidR="00DE6E9C" w:rsidRPr="004701C4">
              <w:rPr>
                <w:rFonts w:asciiTheme="majorHAnsi" w:hAnsiTheme="majorHAnsi"/>
                <w:noProof/>
                <w:webHidden/>
              </w:rPr>
              <w:fldChar w:fldCharType="separate"/>
            </w:r>
            <w:r>
              <w:rPr>
                <w:rFonts w:asciiTheme="majorHAnsi" w:hAnsiTheme="majorHAnsi"/>
                <w:noProof/>
                <w:webHidden/>
              </w:rPr>
              <w:t>11</w:t>
            </w:r>
            <w:r w:rsidR="00DE6E9C" w:rsidRPr="004701C4">
              <w:rPr>
                <w:rFonts w:asciiTheme="majorHAnsi" w:hAnsiTheme="majorHAnsi"/>
                <w:noProof/>
                <w:webHidden/>
              </w:rPr>
              <w:fldChar w:fldCharType="end"/>
            </w:r>
          </w:hyperlink>
        </w:p>
        <w:p w14:paraId="2AD35E2F" w14:textId="3A477942" w:rsidR="00DE6E9C" w:rsidRPr="004701C4" w:rsidRDefault="002C007B">
          <w:pPr>
            <w:pStyle w:val="Verzeichnis2"/>
            <w:tabs>
              <w:tab w:val="left" w:pos="880"/>
              <w:tab w:val="right" w:leader="dot" w:pos="9060"/>
            </w:tabs>
            <w:rPr>
              <w:rFonts w:asciiTheme="majorHAnsi" w:eastAsiaTheme="minorEastAsia" w:hAnsiTheme="majorHAnsi"/>
              <w:noProof/>
              <w:lang w:eastAsia="de-CH"/>
            </w:rPr>
          </w:pPr>
          <w:hyperlink w:anchor="_Toc74047630" w:history="1">
            <w:r w:rsidR="00DE6E9C" w:rsidRPr="004701C4">
              <w:rPr>
                <w:rStyle w:val="Hyperlink"/>
                <w:rFonts w:asciiTheme="majorHAnsi" w:hAnsiTheme="majorHAnsi"/>
                <w:bCs/>
                <w:noProof/>
                <w14:scene3d>
                  <w14:camera w14:prst="orthographicFront"/>
                  <w14:lightRig w14:rig="threePt" w14:dir="t">
                    <w14:rot w14:lat="0" w14:lon="0" w14:rev="0"/>
                  </w14:lightRig>
                </w14:scene3d>
              </w:rPr>
              <w:t>5.6</w:t>
            </w:r>
            <w:r w:rsidR="00DE6E9C" w:rsidRPr="004701C4">
              <w:rPr>
                <w:rFonts w:asciiTheme="majorHAnsi" w:eastAsiaTheme="minorEastAsia" w:hAnsiTheme="majorHAnsi"/>
                <w:noProof/>
                <w:lang w:eastAsia="de-CH"/>
              </w:rPr>
              <w:tab/>
            </w:r>
            <w:r w:rsidR="00DE6E9C" w:rsidRPr="004701C4">
              <w:rPr>
                <w:rStyle w:val="Hyperlink"/>
                <w:rFonts w:asciiTheme="majorHAnsi" w:hAnsiTheme="majorHAnsi"/>
                <w:noProof/>
              </w:rPr>
              <w:t>Weitere Informationen</w:t>
            </w:r>
            <w:r w:rsidR="00DE6E9C" w:rsidRPr="004701C4">
              <w:rPr>
                <w:rFonts w:asciiTheme="majorHAnsi" w:hAnsiTheme="majorHAnsi"/>
                <w:noProof/>
                <w:webHidden/>
              </w:rPr>
              <w:tab/>
            </w:r>
            <w:r w:rsidR="00DE6E9C" w:rsidRPr="004701C4">
              <w:rPr>
                <w:rFonts w:asciiTheme="majorHAnsi" w:hAnsiTheme="majorHAnsi"/>
                <w:noProof/>
                <w:webHidden/>
              </w:rPr>
              <w:fldChar w:fldCharType="begin"/>
            </w:r>
            <w:r w:rsidR="00DE6E9C" w:rsidRPr="004701C4">
              <w:rPr>
                <w:rFonts w:asciiTheme="majorHAnsi" w:hAnsiTheme="majorHAnsi"/>
                <w:noProof/>
                <w:webHidden/>
              </w:rPr>
              <w:instrText xml:space="preserve"> PAGEREF _Toc74047630 \h </w:instrText>
            </w:r>
            <w:r w:rsidR="00DE6E9C" w:rsidRPr="004701C4">
              <w:rPr>
                <w:rFonts w:asciiTheme="majorHAnsi" w:hAnsiTheme="majorHAnsi"/>
                <w:noProof/>
                <w:webHidden/>
              </w:rPr>
            </w:r>
            <w:r w:rsidR="00DE6E9C" w:rsidRPr="004701C4">
              <w:rPr>
                <w:rFonts w:asciiTheme="majorHAnsi" w:hAnsiTheme="majorHAnsi"/>
                <w:noProof/>
                <w:webHidden/>
              </w:rPr>
              <w:fldChar w:fldCharType="separate"/>
            </w:r>
            <w:r>
              <w:rPr>
                <w:rFonts w:asciiTheme="majorHAnsi" w:hAnsiTheme="majorHAnsi"/>
                <w:noProof/>
                <w:webHidden/>
              </w:rPr>
              <w:t>11</w:t>
            </w:r>
            <w:r w:rsidR="00DE6E9C" w:rsidRPr="004701C4">
              <w:rPr>
                <w:rFonts w:asciiTheme="majorHAnsi" w:hAnsiTheme="majorHAnsi"/>
                <w:noProof/>
                <w:webHidden/>
              </w:rPr>
              <w:fldChar w:fldCharType="end"/>
            </w:r>
          </w:hyperlink>
        </w:p>
        <w:p w14:paraId="790BB287" w14:textId="6E8FFA8A" w:rsidR="009A38BB" w:rsidRPr="00E5453A" w:rsidRDefault="009A38BB">
          <w:pPr>
            <w:rPr>
              <w:rFonts w:asciiTheme="majorHAnsi" w:hAnsiTheme="majorHAnsi"/>
            </w:rPr>
          </w:pPr>
          <w:r w:rsidRPr="004701C4">
            <w:rPr>
              <w:rFonts w:asciiTheme="majorHAnsi" w:hAnsiTheme="majorHAnsi"/>
              <w:b/>
              <w:bCs/>
              <w:lang w:val="de-DE"/>
            </w:rPr>
            <w:fldChar w:fldCharType="end"/>
          </w:r>
        </w:p>
      </w:sdtContent>
    </w:sdt>
    <w:p w14:paraId="50CCCD0B" w14:textId="77777777" w:rsidR="009A38BB" w:rsidRPr="005528D5" w:rsidRDefault="009A38BB" w:rsidP="009A38BB">
      <w:pPr>
        <w:spacing w:after="0" w:line="240" w:lineRule="auto"/>
        <w:rPr>
          <w:rFonts w:asciiTheme="majorHAnsi" w:hAnsiTheme="majorHAnsi"/>
          <w:b/>
          <w:sz w:val="32"/>
          <w:szCs w:val="32"/>
        </w:rPr>
      </w:pPr>
    </w:p>
    <w:p w14:paraId="5BE2FD54" w14:textId="77777777" w:rsidR="009A38BB" w:rsidRPr="005528D5" w:rsidRDefault="009A38BB" w:rsidP="009A38BB">
      <w:pPr>
        <w:spacing w:after="0" w:line="240" w:lineRule="auto"/>
        <w:rPr>
          <w:rFonts w:asciiTheme="majorHAnsi" w:hAnsiTheme="majorHAnsi"/>
          <w:b/>
          <w:sz w:val="32"/>
          <w:szCs w:val="32"/>
        </w:rPr>
      </w:pPr>
    </w:p>
    <w:p w14:paraId="2E1D73A8" w14:textId="77777777" w:rsidR="009A38BB" w:rsidRDefault="009A38BB" w:rsidP="009A38BB">
      <w:pPr>
        <w:spacing w:after="0" w:line="240" w:lineRule="auto"/>
        <w:rPr>
          <w:rFonts w:asciiTheme="majorHAnsi" w:hAnsiTheme="majorHAnsi"/>
          <w:b/>
          <w:sz w:val="32"/>
          <w:szCs w:val="32"/>
        </w:rPr>
      </w:pPr>
    </w:p>
    <w:p w14:paraId="3AEABC56" w14:textId="77777777" w:rsidR="00E846BD" w:rsidRDefault="00E846BD" w:rsidP="009A38BB">
      <w:pPr>
        <w:spacing w:after="0" w:line="240" w:lineRule="auto"/>
        <w:rPr>
          <w:rFonts w:asciiTheme="majorHAnsi" w:hAnsiTheme="majorHAnsi"/>
          <w:b/>
          <w:sz w:val="32"/>
          <w:szCs w:val="32"/>
        </w:rPr>
      </w:pPr>
    </w:p>
    <w:p w14:paraId="5A4813F2" w14:textId="77777777" w:rsidR="00E846BD" w:rsidRDefault="00E846BD" w:rsidP="009A38BB">
      <w:pPr>
        <w:spacing w:after="0" w:line="240" w:lineRule="auto"/>
        <w:rPr>
          <w:rFonts w:asciiTheme="majorHAnsi" w:hAnsiTheme="majorHAnsi"/>
          <w:b/>
          <w:sz w:val="32"/>
          <w:szCs w:val="32"/>
        </w:rPr>
      </w:pPr>
    </w:p>
    <w:p w14:paraId="1A32098D" w14:textId="77777777" w:rsidR="00EA59AD" w:rsidRPr="005528D5" w:rsidRDefault="00EA59AD" w:rsidP="009A38BB">
      <w:pPr>
        <w:spacing w:after="0" w:line="240" w:lineRule="auto"/>
        <w:rPr>
          <w:rFonts w:asciiTheme="majorHAnsi" w:hAnsiTheme="majorHAnsi"/>
          <w:b/>
          <w:sz w:val="32"/>
          <w:szCs w:val="32"/>
        </w:rPr>
      </w:pPr>
    </w:p>
    <w:p w14:paraId="0CA52983" w14:textId="77777777" w:rsidR="009A38BB" w:rsidRDefault="009A38BB" w:rsidP="009A38BB">
      <w:pPr>
        <w:spacing w:after="0" w:line="240" w:lineRule="auto"/>
        <w:rPr>
          <w:rFonts w:asciiTheme="majorHAnsi" w:hAnsiTheme="majorHAnsi"/>
          <w:b/>
          <w:sz w:val="32"/>
          <w:szCs w:val="32"/>
        </w:rPr>
      </w:pPr>
    </w:p>
    <w:p w14:paraId="7CED5B50" w14:textId="16E1B868" w:rsidR="00100896" w:rsidRPr="004701C4" w:rsidRDefault="004701C4" w:rsidP="00B44A5B">
      <w:pPr>
        <w:pStyle w:val="berschrift1"/>
      </w:pPr>
      <w:bookmarkStart w:id="1" w:name="_Toc74047610"/>
      <w:r w:rsidRPr="004701C4">
        <w:lastRenderedPageBreak/>
        <w:t>I</w:t>
      </w:r>
      <w:r w:rsidR="00E5453A" w:rsidRPr="004701C4">
        <w:t xml:space="preserve">nformationen über die </w:t>
      </w:r>
      <w:r w:rsidR="002C36F1" w:rsidRPr="004701C4">
        <w:t>Martellus Capital AG:</w:t>
      </w:r>
      <w:bookmarkEnd w:id="1"/>
    </w:p>
    <w:p w14:paraId="38D50CDD" w14:textId="77777777" w:rsidR="00261748" w:rsidRPr="004701C4" w:rsidRDefault="00261748" w:rsidP="00261748">
      <w:pPr>
        <w:pStyle w:val="berschrift2"/>
        <w:tabs>
          <w:tab w:val="left" w:pos="426"/>
        </w:tabs>
        <w:ind w:left="567" w:hanging="567"/>
      </w:pPr>
      <w:bookmarkStart w:id="2" w:name="_Toc74047611"/>
      <w:r w:rsidRPr="004701C4">
        <w:t>Über die Gesellschaft</w:t>
      </w:r>
      <w:bookmarkEnd w:id="2"/>
      <w:r w:rsidRPr="004701C4">
        <w:t xml:space="preserve"> </w:t>
      </w:r>
    </w:p>
    <w:p w14:paraId="605B5D6A" w14:textId="17C1EAA5" w:rsidR="00261748" w:rsidRPr="004701C4" w:rsidRDefault="00261748" w:rsidP="00261748">
      <w:pPr>
        <w:spacing w:after="0"/>
        <w:jc w:val="both"/>
        <w:rPr>
          <w:rFonts w:asciiTheme="majorHAnsi" w:hAnsiTheme="majorHAnsi"/>
        </w:rPr>
      </w:pPr>
      <w:r w:rsidRPr="004701C4">
        <w:rPr>
          <w:rFonts w:asciiTheme="majorHAnsi" w:hAnsiTheme="majorHAnsi"/>
        </w:rPr>
        <w:t>Die MARTELLUS CAPITAL AG (nachfolgend „</w:t>
      </w:r>
      <w:r w:rsidRPr="004701C4">
        <w:rPr>
          <w:rFonts w:asciiTheme="majorHAnsi" w:hAnsiTheme="majorHAnsi"/>
          <w:smallCaps/>
          <w:u w:val="single"/>
        </w:rPr>
        <w:t>Gesellschaft</w:t>
      </w:r>
      <w:r w:rsidRPr="004701C4">
        <w:rPr>
          <w:rFonts w:asciiTheme="majorHAnsi" w:hAnsiTheme="majorHAnsi"/>
        </w:rPr>
        <w:t xml:space="preserve">“) ist eine Aktiengesellschaft errichtet nach schweizerischem Recht mit Sitz und Domizil an der Seehofstrasse 4 in 8008 Zürich. Die </w:t>
      </w:r>
      <w:r w:rsidRPr="004701C4">
        <w:rPr>
          <w:rFonts w:asciiTheme="majorHAnsi" w:hAnsiTheme="majorHAnsi"/>
          <w:lang w:eastAsia="de-DE"/>
        </w:rPr>
        <w:t>Kunden und andere Geschäftspartner erreichen uns in Zürich zu den ortsüblichen Geschäftszeiten unter folgenden Kontaktdaten:</w:t>
      </w:r>
    </w:p>
    <w:p w14:paraId="2C1B9143" w14:textId="77777777" w:rsidR="003A2CC0" w:rsidRPr="004701C4" w:rsidRDefault="003A2CC0" w:rsidP="003A2CC0">
      <w:pPr>
        <w:rPr>
          <w:rFonts w:asciiTheme="majorHAnsi" w:hAnsiTheme="majorHAnsi"/>
          <w:lang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940"/>
      </w:tblGrid>
      <w:tr w:rsidR="003A2CC0" w:rsidRPr="004701C4" w14:paraId="53A52E94" w14:textId="77777777" w:rsidTr="00430AAE">
        <w:tc>
          <w:tcPr>
            <w:tcW w:w="2122" w:type="dxa"/>
          </w:tcPr>
          <w:p w14:paraId="38A08471" w14:textId="77777777" w:rsidR="003A2CC0" w:rsidRPr="004701C4" w:rsidRDefault="003A2CC0" w:rsidP="00430AAE">
            <w:pPr>
              <w:pStyle w:val="Default"/>
              <w:jc w:val="both"/>
              <w:rPr>
                <w:rFonts w:asciiTheme="majorHAnsi" w:hAnsiTheme="majorHAnsi" w:cs="Arial"/>
                <w:b/>
                <w:color w:val="auto"/>
              </w:rPr>
            </w:pPr>
            <w:r w:rsidRPr="004701C4">
              <w:rPr>
                <w:rFonts w:asciiTheme="majorHAnsi" w:hAnsiTheme="majorHAnsi" w:cs="Arial"/>
                <w:b/>
                <w:color w:val="auto"/>
              </w:rPr>
              <w:t>Name</w:t>
            </w:r>
          </w:p>
        </w:tc>
        <w:tc>
          <w:tcPr>
            <w:tcW w:w="6940" w:type="dxa"/>
          </w:tcPr>
          <w:p w14:paraId="0105B95F" w14:textId="77777777" w:rsidR="003A2CC0" w:rsidRPr="004701C4" w:rsidRDefault="003A2CC0" w:rsidP="00430AAE">
            <w:pPr>
              <w:pStyle w:val="Default"/>
              <w:jc w:val="both"/>
              <w:rPr>
                <w:rFonts w:asciiTheme="majorHAnsi" w:hAnsiTheme="majorHAnsi" w:cs="Arial"/>
                <w:color w:val="auto"/>
              </w:rPr>
            </w:pPr>
            <w:r w:rsidRPr="004701C4">
              <w:rPr>
                <w:rFonts w:asciiTheme="majorHAnsi" w:hAnsiTheme="majorHAnsi" w:cs="Arial"/>
                <w:color w:val="auto"/>
              </w:rPr>
              <w:t>Martellus Capital AG</w:t>
            </w:r>
          </w:p>
        </w:tc>
      </w:tr>
      <w:tr w:rsidR="003A2CC0" w:rsidRPr="004701C4" w14:paraId="7DB382B5" w14:textId="77777777" w:rsidTr="00430AAE">
        <w:tc>
          <w:tcPr>
            <w:tcW w:w="2122" w:type="dxa"/>
          </w:tcPr>
          <w:p w14:paraId="02F8BF09" w14:textId="77777777" w:rsidR="003A2CC0" w:rsidRPr="004701C4" w:rsidRDefault="003A2CC0" w:rsidP="00430AAE">
            <w:pPr>
              <w:pStyle w:val="Default"/>
              <w:jc w:val="both"/>
              <w:rPr>
                <w:rFonts w:asciiTheme="majorHAnsi" w:hAnsiTheme="majorHAnsi" w:cs="Arial"/>
                <w:b/>
                <w:color w:val="auto"/>
              </w:rPr>
            </w:pPr>
            <w:bookmarkStart w:id="3" w:name="_Hlk63779657"/>
            <w:r w:rsidRPr="004701C4">
              <w:rPr>
                <w:rFonts w:asciiTheme="majorHAnsi" w:hAnsiTheme="majorHAnsi" w:cs="Arial"/>
                <w:b/>
                <w:color w:val="auto"/>
              </w:rPr>
              <w:t>Adresse</w:t>
            </w:r>
          </w:p>
        </w:tc>
        <w:tc>
          <w:tcPr>
            <w:tcW w:w="6940" w:type="dxa"/>
          </w:tcPr>
          <w:p w14:paraId="1BC55DFD" w14:textId="77777777" w:rsidR="003A2CC0" w:rsidRPr="004701C4" w:rsidRDefault="003A2CC0" w:rsidP="00430AAE">
            <w:pPr>
              <w:pStyle w:val="Default"/>
              <w:jc w:val="both"/>
              <w:rPr>
                <w:rFonts w:asciiTheme="majorHAnsi" w:hAnsiTheme="majorHAnsi" w:cs="Arial"/>
                <w:color w:val="auto"/>
              </w:rPr>
            </w:pPr>
            <w:r w:rsidRPr="004701C4">
              <w:rPr>
                <w:rFonts w:asciiTheme="majorHAnsi" w:hAnsiTheme="majorHAnsi" w:cs="Arial"/>
                <w:color w:val="auto"/>
              </w:rPr>
              <w:t>Seehofstrasse 4</w:t>
            </w:r>
          </w:p>
        </w:tc>
      </w:tr>
      <w:tr w:rsidR="003A2CC0" w:rsidRPr="004701C4" w14:paraId="1766DC7D" w14:textId="77777777" w:rsidTr="00430AAE">
        <w:tc>
          <w:tcPr>
            <w:tcW w:w="2122" w:type="dxa"/>
          </w:tcPr>
          <w:p w14:paraId="6AAA5BC1" w14:textId="77777777" w:rsidR="003A2CC0" w:rsidRPr="004701C4" w:rsidRDefault="003A2CC0" w:rsidP="00430AAE">
            <w:pPr>
              <w:pStyle w:val="Default"/>
              <w:jc w:val="both"/>
              <w:rPr>
                <w:rFonts w:asciiTheme="majorHAnsi" w:hAnsiTheme="majorHAnsi" w:cs="Arial"/>
                <w:b/>
                <w:color w:val="auto"/>
              </w:rPr>
            </w:pPr>
            <w:r w:rsidRPr="004701C4">
              <w:rPr>
                <w:rFonts w:asciiTheme="majorHAnsi" w:hAnsiTheme="majorHAnsi" w:cs="Arial"/>
                <w:b/>
                <w:color w:val="auto"/>
              </w:rPr>
              <w:t>PLZ / Ort</w:t>
            </w:r>
          </w:p>
        </w:tc>
        <w:tc>
          <w:tcPr>
            <w:tcW w:w="6940" w:type="dxa"/>
          </w:tcPr>
          <w:p w14:paraId="248EDAA6" w14:textId="77777777" w:rsidR="003A2CC0" w:rsidRPr="004701C4" w:rsidRDefault="003A2CC0" w:rsidP="00430AAE">
            <w:pPr>
              <w:pStyle w:val="Default"/>
              <w:jc w:val="both"/>
              <w:rPr>
                <w:rFonts w:asciiTheme="majorHAnsi" w:hAnsiTheme="majorHAnsi" w:cs="Arial"/>
                <w:color w:val="auto"/>
              </w:rPr>
            </w:pPr>
            <w:r w:rsidRPr="004701C4">
              <w:rPr>
                <w:rFonts w:asciiTheme="majorHAnsi" w:hAnsiTheme="majorHAnsi" w:cs="Arial"/>
                <w:color w:val="auto"/>
              </w:rPr>
              <w:t>8008 Zürich</w:t>
            </w:r>
          </w:p>
        </w:tc>
      </w:tr>
      <w:tr w:rsidR="003A2CC0" w:rsidRPr="004701C4" w14:paraId="60DE45F1" w14:textId="77777777" w:rsidTr="00430AAE">
        <w:tc>
          <w:tcPr>
            <w:tcW w:w="2122" w:type="dxa"/>
          </w:tcPr>
          <w:p w14:paraId="60255424" w14:textId="77777777" w:rsidR="003A2CC0" w:rsidRPr="004701C4" w:rsidRDefault="003A2CC0" w:rsidP="00430AAE">
            <w:pPr>
              <w:pStyle w:val="Default"/>
              <w:jc w:val="both"/>
              <w:rPr>
                <w:rFonts w:asciiTheme="majorHAnsi" w:hAnsiTheme="majorHAnsi" w:cs="Arial"/>
                <w:b/>
                <w:color w:val="auto"/>
              </w:rPr>
            </w:pPr>
            <w:r w:rsidRPr="004701C4">
              <w:rPr>
                <w:rFonts w:asciiTheme="majorHAnsi" w:hAnsiTheme="majorHAnsi" w:cs="Arial"/>
                <w:b/>
                <w:color w:val="auto"/>
              </w:rPr>
              <w:t>Telefon</w:t>
            </w:r>
          </w:p>
        </w:tc>
        <w:tc>
          <w:tcPr>
            <w:tcW w:w="6940" w:type="dxa"/>
          </w:tcPr>
          <w:p w14:paraId="1319D3C7" w14:textId="22D2AD69" w:rsidR="003A2CC0" w:rsidRPr="004701C4" w:rsidRDefault="003A2CC0" w:rsidP="00430AAE">
            <w:pPr>
              <w:pStyle w:val="Default"/>
              <w:jc w:val="both"/>
              <w:rPr>
                <w:rFonts w:asciiTheme="majorHAnsi" w:hAnsiTheme="majorHAnsi" w:cs="Arial"/>
                <w:color w:val="auto"/>
              </w:rPr>
            </w:pPr>
            <w:r w:rsidRPr="004701C4">
              <w:rPr>
                <w:rFonts w:asciiTheme="majorHAnsi" w:hAnsiTheme="majorHAnsi" w:cs="Arial"/>
                <w:color w:val="auto"/>
              </w:rPr>
              <w:t>+ 41 44 521 54 4</w:t>
            </w:r>
            <w:r w:rsidR="003F7830">
              <w:rPr>
                <w:rFonts w:asciiTheme="majorHAnsi" w:hAnsiTheme="majorHAnsi" w:cs="Arial"/>
                <w:color w:val="auto"/>
              </w:rPr>
              <w:t>4</w:t>
            </w:r>
          </w:p>
        </w:tc>
      </w:tr>
      <w:tr w:rsidR="003A2CC0" w:rsidRPr="004701C4" w14:paraId="44064794" w14:textId="77777777" w:rsidTr="00430AAE">
        <w:tc>
          <w:tcPr>
            <w:tcW w:w="2122" w:type="dxa"/>
          </w:tcPr>
          <w:p w14:paraId="4A2E27C9" w14:textId="77777777" w:rsidR="003A2CC0" w:rsidRPr="004701C4" w:rsidRDefault="003A2CC0" w:rsidP="00430AAE">
            <w:pPr>
              <w:pStyle w:val="Default"/>
              <w:jc w:val="both"/>
              <w:rPr>
                <w:rFonts w:asciiTheme="majorHAnsi" w:hAnsiTheme="majorHAnsi" w:cs="Arial"/>
                <w:b/>
                <w:color w:val="auto"/>
              </w:rPr>
            </w:pPr>
            <w:r w:rsidRPr="004701C4">
              <w:rPr>
                <w:rFonts w:asciiTheme="majorHAnsi" w:hAnsiTheme="majorHAnsi" w:cs="Arial"/>
                <w:b/>
                <w:color w:val="auto"/>
              </w:rPr>
              <w:t>E-Mail</w:t>
            </w:r>
          </w:p>
        </w:tc>
        <w:tc>
          <w:tcPr>
            <w:tcW w:w="6940" w:type="dxa"/>
          </w:tcPr>
          <w:p w14:paraId="67B91FCF" w14:textId="77777777" w:rsidR="003A2CC0" w:rsidRPr="004701C4" w:rsidRDefault="003A2CC0" w:rsidP="00430AAE">
            <w:pPr>
              <w:pStyle w:val="Default"/>
              <w:jc w:val="both"/>
              <w:rPr>
                <w:rFonts w:asciiTheme="majorHAnsi" w:hAnsiTheme="majorHAnsi" w:cs="Arial"/>
                <w:color w:val="auto"/>
              </w:rPr>
            </w:pPr>
            <w:r w:rsidRPr="004701C4">
              <w:rPr>
                <w:rFonts w:asciiTheme="majorHAnsi" w:hAnsiTheme="majorHAnsi" w:cs="Arial"/>
                <w:color w:val="auto"/>
              </w:rPr>
              <w:t>info@martellus.ch</w:t>
            </w:r>
          </w:p>
        </w:tc>
      </w:tr>
      <w:tr w:rsidR="003A2CC0" w:rsidRPr="004701C4" w14:paraId="6F7AAB61" w14:textId="77777777" w:rsidTr="00430AAE">
        <w:tc>
          <w:tcPr>
            <w:tcW w:w="2122" w:type="dxa"/>
          </w:tcPr>
          <w:p w14:paraId="3FF4CA83" w14:textId="77777777" w:rsidR="003A2CC0" w:rsidRPr="004701C4" w:rsidRDefault="003A2CC0" w:rsidP="00430AAE">
            <w:pPr>
              <w:pStyle w:val="Default"/>
              <w:jc w:val="both"/>
              <w:rPr>
                <w:rFonts w:asciiTheme="majorHAnsi" w:hAnsiTheme="majorHAnsi" w:cs="Arial"/>
                <w:b/>
                <w:color w:val="auto"/>
              </w:rPr>
            </w:pPr>
            <w:r w:rsidRPr="004701C4">
              <w:rPr>
                <w:rFonts w:asciiTheme="majorHAnsi" w:hAnsiTheme="majorHAnsi" w:cs="Arial"/>
                <w:b/>
                <w:color w:val="auto"/>
              </w:rPr>
              <w:t>Internetseite</w:t>
            </w:r>
          </w:p>
        </w:tc>
        <w:tc>
          <w:tcPr>
            <w:tcW w:w="6940" w:type="dxa"/>
          </w:tcPr>
          <w:p w14:paraId="2D09E3F3" w14:textId="77777777" w:rsidR="003A2CC0" w:rsidRPr="004701C4" w:rsidRDefault="003A2CC0" w:rsidP="00430AAE">
            <w:pPr>
              <w:pStyle w:val="Default"/>
              <w:jc w:val="both"/>
              <w:rPr>
                <w:rFonts w:asciiTheme="majorHAnsi" w:hAnsiTheme="majorHAnsi" w:cs="Arial"/>
                <w:color w:val="auto"/>
              </w:rPr>
            </w:pPr>
            <w:r w:rsidRPr="004701C4">
              <w:rPr>
                <w:rFonts w:asciiTheme="majorHAnsi" w:hAnsiTheme="majorHAnsi" w:cs="Arial"/>
                <w:color w:val="auto"/>
              </w:rPr>
              <w:t>Martellus.ch</w:t>
            </w:r>
          </w:p>
        </w:tc>
      </w:tr>
      <w:bookmarkEnd w:id="3"/>
      <w:tr w:rsidR="003A2CC0" w:rsidRPr="004701C4" w14:paraId="52E2889B" w14:textId="77777777" w:rsidTr="00430AAE">
        <w:tc>
          <w:tcPr>
            <w:tcW w:w="2122" w:type="dxa"/>
          </w:tcPr>
          <w:p w14:paraId="500D9ABA" w14:textId="77777777" w:rsidR="003A2CC0" w:rsidRPr="004701C4" w:rsidRDefault="003A2CC0" w:rsidP="00430AAE">
            <w:pPr>
              <w:pStyle w:val="Default"/>
              <w:jc w:val="both"/>
              <w:rPr>
                <w:rFonts w:asciiTheme="majorHAnsi" w:hAnsiTheme="majorHAnsi" w:cs="Arial"/>
                <w:b/>
                <w:color w:val="auto"/>
              </w:rPr>
            </w:pPr>
          </w:p>
        </w:tc>
        <w:tc>
          <w:tcPr>
            <w:tcW w:w="6940" w:type="dxa"/>
          </w:tcPr>
          <w:p w14:paraId="34F5C064" w14:textId="77777777" w:rsidR="003A2CC0" w:rsidRPr="004701C4" w:rsidRDefault="003A2CC0" w:rsidP="00430AAE">
            <w:pPr>
              <w:pStyle w:val="Default"/>
              <w:jc w:val="both"/>
              <w:rPr>
                <w:rFonts w:asciiTheme="majorHAnsi" w:hAnsiTheme="majorHAnsi" w:cs="Arial"/>
                <w:color w:val="auto"/>
              </w:rPr>
            </w:pPr>
          </w:p>
        </w:tc>
      </w:tr>
      <w:tr w:rsidR="003A2CC0" w:rsidRPr="004701C4" w14:paraId="6E680DBD" w14:textId="77777777" w:rsidTr="00430AAE">
        <w:tc>
          <w:tcPr>
            <w:tcW w:w="2122" w:type="dxa"/>
          </w:tcPr>
          <w:p w14:paraId="579F78B3" w14:textId="77777777" w:rsidR="003A2CC0" w:rsidRPr="004701C4" w:rsidRDefault="003A2CC0" w:rsidP="00430AAE">
            <w:pPr>
              <w:pStyle w:val="Default"/>
              <w:jc w:val="both"/>
              <w:rPr>
                <w:rFonts w:asciiTheme="majorHAnsi" w:hAnsiTheme="majorHAnsi" w:cs="Arial"/>
                <w:b/>
                <w:color w:val="auto"/>
              </w:rPr>
            </w:pPr>
          </w:p>
        </w:tc>
        <w:tc>
          <w:tcPr>
            <w:tcW w:w="6940" w:type="dxa"/>
          </w:tcPr>
          <w:p w14:paraId="1BE6556E" w14:textId="77777777" w:rsidR="003A2CC0" w:rsidRPr="004701C4" w:rsidRDefault="003A2CC0" w:rsidP="00430AAE">
            <w:pPr>
              <w:pStyle w:val="Default"/>
              <w:jc w:val="both"/>
              <w:rPr>
                <w:rFonts w:asciiTheme="majorHAnsi" w:hAnsiTheme="majorHAnsi" w:cs="Arial"/>
                <w:color w:val="auto"/>
              </w:rPr>
            </w:pPr>
          </w:p>
        </w:tc>
      </w:tr>
      <w:tr w:rsidR="003A2CC0" w:rsidRPr="004701C4" w14:paraId="20A7863B" w14:textId="77777777" w:rsidTr="00430AAE">
        <w:tc>
          <w:tcPr>
            <w:tcW w:w="2122" w:type="dxa"/>
          </w:tcPr>
          <w:p w14:paraId="28E3EF04" w14:textId="77777777" w:rsidR="003A2CC0" w:rsidRPr="004701C4" w:rsidRDefault="003A2CC0" w:rsidP="00430AAE">
            <w:pPr>
              <w:pStyle w:val="Default"/>
              <w:jc w:val="both"/>
              <w:rPr>
                <w:rFonts w:asciiTheme="majorHAnsi" w:hAnsiTheme="majorHAnsi" w:cs="Arial"/>
                <w:b/>
                <w:color w:val="auto"/>
              </w:rPr>
            </w:pPr>
            <w:proofErr w:type="spellStart"/>
            <w:r w:rsidRPr="004701C4">
              <w:rPr>
                <w:rFonts w:asciiTheme="majorHAnsi" w:hAnsiTheme="majorHAnsi" w:cs="Arial"/>
                <w:b/>
                <w:color w:val="auto"/>
              </w:rPr>
              <w:t>HReg</w:t>
            </w:r>
            <w:proofErr w:type="spellEnd"/>
            <w:r w:rsidRPr="004701C4">
              <w:rPr>
                <w:rFonts w:asciiTheme="majorHAnsi" w:hAnsiTheme="majorHAnsi" w:cs="Arial"/>
                <w:b/>
                <w:color w:val="auto"/>
              </w:rPr>
              <w:t>-Nr.</w:t>
            </w:r>
          </w:p>
        </w:tc>
        <w:tc>
          <w:tcPr>
            <w:tcW w:w="6940" w:type="dxa"/>
          </w:tcPr>
          <w:p w14:paraId="4B5540E6" w14:textId="77777777" w:rsidR="003A2CC0" w:rsidRPr="004701C4" w:rsidRDefault="003A2CC0" w:rsidP="00430AAE">
            <w:pPr>
              <w:pStyle w:val="Default"/>
              <w:jc w:val="both"/>
              <w:rPr>
                <w:rFonts w:asciiTheme="majorHAnsi" w:hAnsiTheme="majorHAnsi" w:cs="Arial"/>
                <w:color w:val="auto"/>
              </w:rPr>
            </w:pPr>
            <w:r w:rsidRPr="004701C4">
              <w:rPr>
                <w:rFonts w:asciiTheme="majorHAnsi" w:hAnsiTheme="majorHAnsi" w:cs="Arial"/>
                <w:color w:val="auto"/>
              </w:rPr>
              <w:t>CHE-101.605.962</w:t>
            </w:r>
          </w:p>
        </w:tc>
      </w:tr>
      <w:tr w:rsidR="003A2CC0" w:rsidRPr="004701C4" w14:paraId="09DE4C5D" w14:textId="77777777" w:rsidTr="00430AAE">
        <w:tc>
          <w:tcPr>
            <w:tcW w:w="2122" w:type="dxa"/>
          </w:tcPr>
          <w:p w14:paraId="55D554A2" w14:textId="77777777" w:rsidR="003A2CC0" w:rsidRPr="004701C4" w:rsidRDefault="003A2CC0" w:rsidP="00430AAE">
            <w:pPr>
              <w:pStyle w:val="Default"/>
              <w:jc w:val="both"/>
              <w:rPr>
                <w:rFonts w:asciiTheme="majorHAnsi" w:hAnsiTheme="majorHAnsi" w:cs="Arial"/>
                <w:b/>
                <w:color w:val="auto"/>
              </w:rPr>
            </w:pPr>
            <w:r w:rsidRPr="004701C4">
              <w:rPr>
                <w:rFonts w:asciiTheme="majorHAnsi" w:hAnsiTheme="majorHAnsi" w:cs="Arial"/>
                <w:b/>
                <w:color w:val="auto"/>
              </w:rPr>
              <w:t>MwSt.-Nr.</w:t>
            </w:r>
          </w:p>
        </w:tc>
        <w:tc>
          <w:tcPr>
            <w:tcW w:w="6940" w:type="dxa"/>
          </w:tcPr>
          <w:p w14:paraId="741CA477" w14:textId="77777777" w:rsidR="003A2CC0" w:rsidRPr="004701C4" w:rsidRDefault="003A2CC0" w:rsidP="00430AAE">
            <w:pPr>
              <w:pStyle w:val="Default"/>
              <w:jc w:val="both"/>
              <w:rPr>
                <w:rFonts w:asciiTheme="majorHAnsi" w:hAnsiTheme="majorHAnsi" w:cs="Arial"/>
                <w:color w:val="auto"/>
              </w:rPr>
            </w:pPr>
            <w:r w:rsidRPr="004701C4">
              <w:rPr>
                <w:rFonts w:asciiTheme="majorHAnsi" w:hAnsiTheme="majorHAnsi" w:cs="Arial"/>
                <w:color w:val="auto"/>
              </w:rPr>
              <w:t>507.359</w:t>
            </w:r>
          </w:p>
        </w:tc>
      </w:tr>
    </w:tbl>
    <w:p w14:paraId="30244B40" w14:textId="77777777" w:rsidR="0059644E" w:rsidRPr="004701C4" w:rsidRDefault="0059644E" w:rsidP="003A2CC0">
      <w:pPr>
        <w:rPr>
          <w:rFonts w:asciiTheme="majorHAnsi" w:hAnsiTheme="majorHAnsi"/>
          <w:sz w:val="24"/>
          <w:szCs w:val="24"/>
          <w:lang w:eastAsia="de-DE"/>
        </w:rPr>
      </w:pPr>
    </w:p>
    <w:p w14:paraId="7B67AA51" w14:textId="39436E94" w:rsidR="00712406" w:rsidRPr="004701C4" w:rsidRDefault="003A2CC0" w:rsidP="003A2CC0">
      <w:pPr>
        <w:pStyle w:val="berschrift2"/>
        <w:tabs>
          <w:tab w:val="left" w:pos="426"/>
        </w:tabs>
        <w:ind w:left="567" w:hanging="567"/>
      </w:pPr>
      <w:r w:rsidRPr="004701C4">
        <w:t xml:space="preserve"> </w:t>
      </w:r>
      <w:bookmarkStart w:id="4" w:name="_Toc74047612"/>
      <w:r w:rsidR="00261748" w:rsidRPr="004701C4">
        <w:t>Unser Dienstleistungsangebot</w:t>
      </w:r>
      <w:bookmarkEnd w:id="4"/>
    </w:p>
    <w:p w14:paraId="3242DCD1" w14:textId="6AF5FE6D" w:rsidR="003A2CC0" w:rsidRPr="004701C4" w:rsidRDefault="003A2CC0" w:rsidP="003A2CC0">
      <w:pPr>
        <w:pStyle w:val="berschrift2"/>
        <w:ind w:left="567"/>
      </w:pPr>
      <w:bookmarkStart w:id="5" w:name="_Toc74047613"/>
      <w:r w:rsidRPr="004701C4">
        <w:t>Aufsichtsstatus</w:t>
      </w:r>
      <w:bookmarkEnd w:id="5"/>
    </w:p>
    <w:p w14:paraId="56D162E0" w14:textId="25539837" w:rsidR="00274D82" w:rsidRPr="007D02F3" w:rsidRDefault="00274D82" w:rsidP="00484927">
      <w:pPr>
        <w:spacing w:after="0"/>
        <w:jc w:val="both"/>
        <w:rPr>
          <w:rFonts w:asciiTheme="majorHAnsi" w:hAnsiTheme="majorHAnsi" w:cs="Arial"/>
        </w:rPr>
      </w:pPr>
    </w:p>
    <w:p w14:paraId="08F2C490" w14:textId="1B03FDD5" w:rsidR="007D02F3" w:rsidRPr="007D02F3" w:rsidRDefault="007D02F3" w:rsidP="007D02F3">
      <w:pPr>
        <w:rPr>
          <w:rFonts w:ascii="Cambria" w:hAnsi="Cambria"/>
        </w:rPr>
      </w:pPr>
      <w:r w:rsidRPr="007D02F3">
        <w:rPr>
          <w:rFonts w:ascii="Cambria" w:hAnsi="Cambria"/>
        </w:rPr>
        <w:t xml:space="preserve">Die </w:t>
      </w:r>
      <w:r w:rsidRPr="004701C4">
        <w:rPr>
          <w:rFonts w:asciiTheme="majorHAnsi" w:hAnsiTheme="majorHAnsi"/>
          <w:smallCaps/>
        </w:rPr>
        <w:t>Gesellschaft</w:t>
      </w:r>
      <w:r w:rsidRPr="007D02F3">
        <w:rPr>
          <w:rFonts w:asciiTheme="majorHAnsi" w:hAnsiTheme="majorHAnsi" w:cs="Arial"/>
        </w:rPr>
        <w:t xml:space="preserve"> </w:t>
      </w:r>
      <w:r w:rsidRPr="007D02F3">
        <w:rPr>
          <w:rFonts w:ascii="Cambria" w:hAnsi="Cambria"/>
        </w:rPr>
        <w:t>ist ein</w:t>
      </w:r>
      <w:r w:rsidR="00160155">
        <w:rPr>
          <w:rFonts w:ascii="Cambria" w:hAnsi="Cambria"/>
        </w:rPr>
        <w:t xml:space="preserve"> von der Eidgenössischen Finanzmarktaufsicht</w:t>
      </w:r>
      <w:r w:rsidRPr="007D02F3">
        <w:rPr>
          <w:rFonts w:ascii="Cambria" w:hAnsi="Cambria"/>
        </w:rPr>
        <w:t xml:space="preserve"> FINMA bewilligter Vermögensverwalter nach Art 2 Abs. 1 FINIG und erfüllt die Anforderungen gemäss dem Bundesgesetz vom 15. Juni 2018 über die Finanzdienstleistungen (Finanzdienstleistungsgesetz, FIDLEG; SR 950.1)</w:t>
      </w:r>
      <w:r w:rsidR="00160155">
        <w:rPr>
          <w:rFonts w:ascii="Cambria" w:hAnsi="Cambria"/>
        </w:rPr>
        <w:t xml:space="preserve"> und untersteht der laufenden Aufsicht durch die</w:t>
      </w:r>
      <w:r w:rsidR="00160155" w:rsidRPr="00160155">
        <w:rPr>
          <w:rFonts w:ascii="Cambria" w:hAnsi="Cambria"/>
        </w:rPr>
        <w:t xml:space="preserve"> </w:t>
      </w:r>
      <w:r w:rsidR="00160155" w:rsidRPr="007D02F3">
        <w:rPr>
          <w:rFonts w:ascii="Cambria" w:hAnsi="Cambria"/>
        </w:rPr>
        <w:t>AOOS – Schweizerische Aktiengesellschaft für Aufsicht</w:t>
      </w:r>
      <w:r w:rsidRPr="007D02F3">
        <w:rPr>
          <w:rFonts w:ascii="Cambria" w:hAnsi="Cambria"/>
        </w:rPr>
        <w:t>.   </w:t>
      </w:r>
      <w:r w:rsidR="00BB56FF" w:rsidRPr="007D02F3">
        <w:rPr>
          <w:rFonts w:ascii="Cambria" w:hAnsi="Cambria"/>
        </w:rPr>
        <w:t xml:space="preserve">Die </w:t>
      </w:r>
      <w:r w:rsidR="00BB56FF" w:rsidRPr="004701C4">
        <w:rPr>
          <w:rFonts w:asciiTheme="majorHAnsi" w:hAnsiTheme="majorHAnsi"/>
          <w:smallCaps/>
        </w:rPr>
        <w:t>Gesellschaft</w:t>
      </w:r>
      <w:r w:rsidR="00BB56FF" w:rsidRPr="007D02F3">
        <w:rPr>
          <w:rFonts w:asciiTheme="majorHAnsi" w:hAnsiTheme="majorHAnsi" w:cs="Arial"/>
        </w:rPr>
        <w:t xml:space="preserve"> </w:t>
      </w:r>
      <w:r w:rsidR="00BB56FF">
        <w:rPr>
          <w:rFonts w:asciiTheme="majorHAnsi" w:hAnsiTheme="majorHAnsi" w:cs="Arial"/>
        </w:rPr>
        <w:t xml:space="preserve">ist an </w:t>
      </w:r>
      <w:r w:rsidRPr="007D02F3">
        <w:rPr>
          <w:rFonts w:ascii="Cambria" w:hAnsi="Cambria"/>
        </w:rPr>
        <w:t>die</w:t>
      </w:r>
      <w:r w:rsidR="00160155">
        <w:rPr>
          <w:rFonts w:ascii="Cambria" w:hAnsi="Cambria"/>
        </w:rPr>
        <w:t xml:space="preserve"> </w:t>
      </w:r>
      <w:proofErr w:type="spellStart"/>
      <w:r w:rsidR="00160155">
        <w:rPr>
          <w:rFonts w:ascii="Cambria" w:hAnsi="Cambria"/>
        </w:rPr>
        <w:t>Omdbudsstelle</w:t>
      </w:r>
      <w:proofErr w:type="spellEnd"/>
      <w:r w:rsidRPr="007D02F3">
        <w:rPr>
          <w:rFonts w:ascii="Cambria" w:hAnsi="Cambria"/>
        </w:rPr>
        <w:t xml:space="preserve"> </w:t>
      </w:r>
      <w:proofErr w:type="spellStart"/>
      <w:r w:rsidRPr="007D02F3">
        <w:rPr>
          <w:rFonts w:ascii="Cambria" w:hAnsi="Cambria"/>
        </w:rPr>
        <w:t>Ombud</w:t>
      </w:r>
      <w:proofErr w:type="spellEnd"/>
      <w:r w:rsidRPr="007D02F3">
        <w:rPr>
          <w:rFonts w:ascii="Cambria" w:hAnsi="Cambria"/>
        </w:rPr>
        <w:t xml:space="preserve"> Finanzen Schweiz (OFS), 16 Boulevard des </w:t>
      </w:r>
      <w:proofErr w:type="spellStart"/>
      <w:r w:rsidRPr="007D02F3">
        <w:rPr>
          <w:rFonts w:ascii="Cambria" w:hAnsi="Cambria"/>
        </w:rPr>
        <w:t>Tranchées</w:t>
      </w:r>
      <w:proofErr w:type="spellEnd"/>
      <w:r w:rsidRPr="007D02F3">
        <w:rPr>
          <w:rFonts w:ascii="Cambria" w:hAnsi="Cambria"/>
        </w:rPr>
        <w:t>, 1206 Genf, angeschlossen</w:t>
      </w:r>
      <w:r w:rsidR="00160155">
        <w:rPr>
          <w:rFonts w:ascii="Cambria" w:hAnsi="Cambria"/>
        </w:rPr>
        <w:t xml:space="preserve"> </w:t>
      </w:r>
      <w:r w:rsidRPr="007D02F3">
        <w:rPr>
          <w:rFonts w:ascii="Cambria" w:hAnsi="Cambria"/>
        </w:rPr>
        <w:t>und ist Mitglied des Verband Schweizerischer Vermögensverwalter (VSV).</w:t>
      </w:r>
    </w:p>
    <w:p w14:paraId="6E1DD59C" w14:textId="58EA97C9" w:rsidR="002C661F" w:rsidRPr="004701C4" w:rsidRDefault="00FC2AFD" w:rsidP="002C661F">
      <w:pPr>
        <w:pStyle w:val="Default"/>
        <w:jc w:val="both"/>
        <w:rPr>
          <w:rFonts w:asciiTheme="majorHAnsi" w:hAnsiTheme="majorHAnsi" w:cs="Arial"/>
          <w:color w:val="auto"/>
          <w:sz w:val="22"/>
          <w:szCs w:val="22"/>
        </w:rPr>
      </w:pPr>
      <w:r w:rsidRPr="004701C4">
        <w:rPr>
          <w:rFonts w:asciiTheme="majorHAnsi" w:hAnsiTheme="majorHAnsi" w:cs="Arial"/>
          <w:color w:val="auto"/>
          <w:sz w:val="22"/>
          <w:szCs w:val="22"/>
        </w:rPr>
        <w:t xml:space="preserve">Die </w:t>
      </w:r>
      <w:r w:rsidR="007D02F3" w:rsidRPr="004701C4">
        <w:rPr>
          <w:rFonts w:asciiTheme="majorHAnsi" w:hAnsiTheme="majorHAnsi"/>
          <w:smallCaps/>
        </w:rPr>
        <w:t>Gesellschaft</w:t>
      </w:r>
      <w:r w:rsidR="007D02F3" w:rsidRPr="004701C4">
        <w:rPr>
          <w:rFonts w:asciiTheme="majorHAnsi" w:hAnsiTheme="majorHAnsi" w:cs="Arial"/>
          <w:color w:val="auto"/>
          <w:sz w:val="22"/>
          <w:szCs w:val="22"/>
        </w:rPr>
        <w:t xml:space="preserve"> </w:t>
      </w:r>
      <w:r w:rsidR="002C661F" w:rsidRPr="004701C4">
        <w:rPr>
          <w:rFonts w:asciiTheme="majorHAnsi" w:hAnsiTheme="majorHAnsi" w:cs="Arial"/>
          <w:color w:val="auto"/>
          <w:sz w:val="22"/>
          <w:szCs w:val="22"/>
        </w:rPr>
        <w:t>untersteht dem Berufsgeheimnis gemäss dem Finanzinstitutsgesetz.</w:t>
      </w:r>
    </w:p>
    <w:p w14:paraId="0998BCC8" w14:textId="77777777" w:rsidR="00E846BD" w:rsidRPr="004701C4" w:rsidRDefault="00E846BD" w:rsidP="002C661F">
      <w:pPr>
        <w:pStyle w:val="Default"/>
        <w:jc w:val="both"/>
        <w:rPr>
          <w:rFonts w:asciiTheme="majorHAnsi" w:hAnsiTheme="majorHAnsi" w:cs="Arial"/>
          <w:color w:val="auto"/>
          <w:sz w:val="22"/>
          <w:szCs w:val="22"/>
        </w:rPr>
      </w:pPr>
    </w:p>
    <w:p w14:paraId="438F08EB" w14:textId="577CAC8D" w:rsidR="00712406" w:rsidRPr="004701C4" w:rsidRDefault="00E86BE9" w:rsidP="00484927">
      <w:pPr>
        <w:jc w:val="both"/>
        <w:rPr>
          <w:rFonts w:asciiTheme="majorHAnsi" w:hAnsiTheme="majorHAnsi"/>
        </w:rPr>
      </w:pPr>
      <w:r w:rsidRPr="004701C4">
        <w:rPr>
          <w:rFonts w:asciiTheme="majorHAnsi" w:hAnsiTheme="majorHAnsi"/>
        </w:rPr>
        <w:t xml:space="preserve">Die </w:t>
      </w:r>
      <w:bookmarkStart w:id="6" w:name="_Hlk158213320"/>
      <w:r w:rsidR="000B7C05" w:rsidRPr="004701C4">
        <w:rPr>
          <w:rFonts w:asciiTheme="majorHAnsi" w:hAnsiTheme="majorHAnsi"/>
          <w:smallCaps/>
        </w:rPr>
        <w:t>Gesellschaft</w:t>
      </w:r>
      <w:bookmarkEnd w:id="6"/>
      <w:r w:rsidRPr="004701C4">
        <w:rPr>
          <w:rFonts w:asciiTheme="majorHAnsi" w:hAnsiTheme="majorHAnsi"/>
        </w:rPr>
        <w:t xml:space="preserve"> ist ausschliesslich in der Schweiz zu</w:t>
      </w:r>
      <w:r w:rsidR="002C4D79" w:rsidRPr="004701C4">
        <w:rPr>
          <w:rFonts w:asciiTheme="majorHAnsi" w:hAnsiTheme="majorHAnsi"/>
        </w:rPr>
        <w:t>r</w:t>
      </w:r>
      <w:r w:rsidRPr="004701C4">
        <w:rPr>
          <w:rFonts w:asciiTheme="majorHAnsi" w:hAnsiTheme="majorHAnsi"/>
        </w:rPr>
        <w:t xml:space="preserve"> Erbringung von Anlageberatung</w:t>
      </w:r>
      <w:r w:rsidR="000E7C62" w:rsidRPr="004701C4">
        <w:rPr>
          <w:rFonts w:asciiTheme="majorHAnsi" w:hAnsiTheme="majorHAnsi"/>
        </w:rPr>
        <w:t>s-</w:t>
      </w:r>
      <w:r w:rsidRPr="004701C4">
        <w:rPr>
          <w:rFonts w:asciiTheme="majorHAnsi" w:hAnsiTheme="majorHAnsi"/>
        </w:rPr>
        <w:t xml:space="preserve"> und Vermögensverwaltung</w:t>
      </w:r>
      <w:r w:rsidR="000E7C62" w:rsidRPr="004701C4">
        <w:rPr>
          <w:rFonts w:asciiTheme="majorHAnsi" w:hAnsiTheme="majorHAnsi"/>
        </w:rPr>
        <w:t>sdienstleistungen</w:t>
      </w:r>
      <w:r w:rsidRPr="004701C4">
        <w:rPr>
          <w:rFonts w:asciiTheme="majorHAnsi" w:hAnsiTheme="majorHAnsi"/>
        </w:rPr>
        <w:t xml:space="preserve"> zugelassen. Die Rechtsbeziehungen zwischen </w:t>
      </w:r>
      <w:r w:rsidR="000E7C62" w:rsidRPr="004701C4">
        <w:rPr>
          <w:rFonts w:asciiTheme="majorHAnsi" w:hAnsiTheme="majorHAnsi"/>
        </w:rPr>
        <w:t xml:space="preserve">dem </w:t>
      </w:r>
      <w:r w:rsidRPr="004701C4">
        <w:rPr>
          <w:rFonts w:asciiTheme="majorHAnsi" w:hAnsiTheme="majorHAnsi"/>
        </w:rPr>
        <w:t>Kunde</w:t>
      </w:r>
      <w:r w:rsidR="000E7C62" w:rsidRPr="004701C4">
        <w:rPr>
          <w:rFonts w:asciiTheme="majorHAnsi" w:hAnsiTheme="majorHAnsi"/>
        </w:rPr>
        <w:t>n</w:t>
      </w:r>
      <w:r w:rsidRPr="004701C4">
        <w:rPr>
          <w:rFonts w:asciiTheme="majorHAnsi" w:hAnsiTheme="majorHAnsi"/>
        </w:rPr>
        <w:t xml:space="preserve"> und</w:t>
      </w:r>
      <w:r w:rsidR="000E7C62" w:rsidRPr="004701C4">
        <w:rPr>
          <w:rFonts w:asciiTheme="majorHAnsi" w:hAnsiTheme="majorHAnsi"/>
        </w:rPr>
        <w:t xml:space="preserve"> der</w:t>
      </w:r>
      <w:r w:rsidRPr="004701C4">
        <w:rPr>
          <w:rFonts w:asciiTheme="majorHAnsi" w:hAnsiTheme="majorHAnsi"/>
        </w:rPr>
        <w:t xml:space="preserve"> </w:t>
      </w:r>
      <w:r w:rsidR="000B7C05" w:rsidRPr="004701C4">
        <w:rPr>
          <w:rFonts w:asciiTheme="majorHAnsi" w:hAnsiTheme="majorHAnsi"/>
          <w:smallCaps/>
        </w:rPr>
        <w:t>Gesellschaft</w:t>
      </w:r>
      <w:r w:rsidR="000E7C62" w:rsidRPr="004701C4">
        <w:rPr>
          <w:rFonts w:asciiTheme="majorHAnsi" w:hAnsiTheme="majorHAnsi"/>
        </w:rPr>
        <w:t xml:space="preserve"> unterstehen ausschliesslich </w:t>
      </w:r>
      <w:r w:rsidR="00274D82" w:rsidRPr="004701C4">
        <w:rPr>
          <w:rFonts w:asciiTheme="majorHAnsi" w:hAnsiTheme="majorHAnsi"/>
        </w:rPr>
        <w:t>s</w:t>
      </w:r>
      <w:r w:rsidR="00712406" w:rsidRPr="004701C4">
        <w:rPr>
          <w:rFonts w:asciiTheme="majorHAnsi" w:hAnsiTheme="majorHAnsi"/>
        </w:rPr>
        <w:t>chweizerischem Recht.</w:t>
      </w:r>
    </w:p>
    <w:p w14:paraId="438A97C5" w14:textId="77777777" w:rsidR="00E846BD" w:rsidRPr="004701C4" w:rsidRDefault="00E846BD" w:rsidP="00E846BD">
      <w:pPr>
        <w:pStyle w:val="Default"/>
        <w:jc w:val="both"/>
        <w:rPr>
          <w:rFonts w:asciiTheme="majorHAnsi" w:hAnsiTheme="majorHAnsi" w:cs="Arial"/>
          <w:i/>
          <w:iCs/>
          <w:color w:val="auto"/>
          <w:sz w:val="22"/>
          <w:szCs w:val="22"/>
          <w:lang w:eastAsia="de-CH"/>
        </w:rPr>
      </w:pPr>
    </w:p>
    <w:p w14:paraId="36ED3829" w14:textId="15038A65" w:rsidR="00E86BE9" w:rsidRPr="004701C4" w:rsidRDefault="007C3563" w:rsidP="0055162C">
      <w:pPr>
        <w:pStyle w:val="berschrift1"/>
        <w:ind w:right="-286"/>
      </w:pPr>
      <w:bookmarkStart w:id="7" w:name="_Toc74047614"/>
      <w:r w:rsidRPr="004701C4">
        <w:lastRenderedPageBreak/>
        <w:t>Grundsätze zur Dienstleistungserbringung</w:t>
      </w:r>
      <w:bookmarkEnd w:id="7"/>
    </w:p>
    <w:p w14:paraId="45903D55" w14:textId="77777777" w:rsidR="007C3563" w:rsidRPr="004701C4" w:rsidRDefault="007C3563" w:rsidP="00075594">
      <w:pPr>
        <w:pStyle w:val="berschrift2"/>
        <w:ind w:left="567"/>
      </w:pPr>
      <w:bookmarkStart w:id="8" w:name="_Toc74047615"/>
      <w:r w:rsidRPr="004701C4">
        <w:t>Keine Vertriebsbindungen an D</w:t>
      </w:r>
      <w:r w:rsidR="00B901C0" w:rsidRPr="004701C4">
        <w:t>ritte</w:t>
      </w:r>
      <w:bookmarkEnd w:id="8"/>
    </w:p>
    <w:p w14:paraId="498DC7CF" w14:textId="43E1128B" w:rsidR="00E86BE9" w:rsidRPr="004701C4" w:rsidRDefault="00E86BE9" w:rsidP="00484927">
      <w:pPr>
        <w:jc w:val="both"/>
        <w:rPr>
          <w:rFonts w:asciiTheme="majorHAnsi" w:hAnsiTheme="majorHAnsi"/>
        </w:rPr>
      </w:pPr>
      <w:r w:rsidRPr="004701C4">
        <w:rPr>
          <w:rFonts w:asciiTheme="majorHAnsi" w:hAnsiTheme="majorHAnsi"/>
        </w:rPr>
        <w:t xml:space="preserve">Die </w:t>
      </w:r>
      <w:r w:rsidR="000B7C05" w:rsidRPr="004701C4">
        <w:rPr>
          <w:rFonts w:asciiTheme="majorHAnsi" w:hAnsiTheme="majorHAnsi"/>
          <w:smallCaps/>
        </w:rPr>
        <w:t>Gesellschaft</w:t>
      </w:r>
      <w:r w:rsidRPr="004701C4">
        <w:rPr>
          <w:rFonts w:asciiTheme="majorHAnsi" w:hAnsiTheme="majorHAnsi"/>
        </w:rPr>
        <w:t xml:space="preserve"> erbringt ihre</w:t>
      </w:r>
      <w:r w:rsidR="00DE1B07" w:rsidRPr="004701C4">
        <w:rPr>
          <w:rFonts w:asciiTheme="majorHAnsi" w:hAnsiTheme="majorHAnsi"/>
        </w:rPr>
        <w:t xml:space="preserve"> </w:t>
      </w:r>
      <w:r w:rsidRPr="004701C4">
        <w:rPr>
          <w:rFonts w:asciiTheme="majorHAnsi" w:hAnsiTheme="majorHAnsi"/>
        </w:rPr>
        <w:t xml:space="preserve">Dienstleistungen unabhängig von Banken und Anbietern von Finanzprodukten. Es bestehen </w:t>
      </w:r>
      <w:r w:rsidR="00B10F1C" w:rsidRPr="004701C4">
        <w:rPr>
          <w:rFonts w:asciiTheme="majorHAnsi" w:hAnsiTheme="majorHAnsi"/>
        </w:rPr>
        <w:t xml:space="preserve">keine </w:t>
      </w:r>
      <w:r w:rsidRPr="004701C4">
        <w:rPr>
          <w:rFonts w:asciiTheme="majorHAnsi" w:hAnsiTheme="majorHAnsi"/>
        </w:rPr>
        <w:t xml:space="preserve">Exklusivverbindungen. Die </w:t>
      </w:r>
      <w:r w:rsidR="000B7C05" w:rsidRPr="004701C4">
        <w:rPr>
          <w:rFonts w:asciiTheme="majorHAnsi" w:hAnsiTheme="majorHAnsi"/>
          <w:smallCaps/>
        </w:rPr>
        <w:t>Gesellschaft</w:t>
      </w:r>
      <w:r w:rsidRPr="004701C4">
        <w:rPr>
          <w:rFonts w:asciiTheme="majorHAnsi" w:hAnsiTheme="majorHAnsi"/>
        </w:rPr>
        <w:t xml:space="preserve"> empfiehlt den Kunden auf Anfrage für die Hinterlegung der Vermögenswerte des Kunden Banken und </w:t>
      </w:r>
      <w:r w:rsidR="007C3563" w:rsidRPr="004701C4">
        <w:rPr>
          <w:rFonts w:asciiTheme="majorHAnsi" w:hAnsiTheme="majorHAnsi"/>
        </w:rPr>
        <w:t>Wertpapierhäuser</w:t>
      </w:r>
      <w:r w:rsidRPr="004701C4">
        <w:rPr>
          <w:rFonts w:asciiTheme="majorHAnsi" w:hAnsiTheme="majorHAnsi"/>
        </w:rPr>
        <w:t xml:space="preserve">, die nach eigener Auffassung </w:t>
      </w:r>
      <w:r w:rsidR="00712406" w:rsidRPr="004701C4">
        <w:rPr>
          <w:rFonts w:asciiTheme="majorHAnsi" w:hAnsiTheme="majorHAnsi"/>
        </w:rPr>
        <w:t xml:space="preserve">und Erfahrung </w:t>
      </w:r>
      <w:r w:rsidRPr="004701C4">
        <w:rPr>
          <w:rFonts w:asciiTheme="majorHAnsi" w:hAnsiTheme="majorHAnsi"/>
        </w:rPr>
        <w:t xml:space="preserve">Gewähr für die bestmögliche Ausführung </w:t>
      </w:r>
      <w:r w:rsidR="00642ED8" w:rsidRPr="004701C4">
        <w:rPr>
          <w:rFonts w:asciiTheme="majorHAnsi" w:hAnsiTheme="majorHAnsi"/>
        </w:rPr>
        <w:t>der</w:t>
      </w:r>
      <w:r w:rsidR="002C36F1" w:rsidRPr="004701C4">
        <w:rPr>
          <w:rFonts w:asciiTheme="majorHAnsi" w:hAnsiTheme="majorHAnsi"/>
        </w:rPr>
        <w:t xml:space="preserve"> </w:t>
      </w:r>
      <w:r w:rsidR="00642ED8" w:rsidRPr="004701C4">
        <w:rPr>
          <w:rFonts w:asciiTheme="majorHAnsi" w:hAnsiTheme="majorHAnsi"/>
        </w:rPr>
        <w:t>Kundenaufträge unter preislichen</w:t>
      </w:r>
      <w:r w:rsidR="007C3563" w:rsidRPr="004701C4">
        <w:rPr>
          <w:rFonts w:asciiTheme="majorHAnsi" w:hAnsiTheme="majorHAnsi"/>
        </w:rPr>
        <w:t>, quantitativen</w:t>
      </w:r>
      <w:r w:rsidR="00642ED8" w:rsidRPr="004701C4">
        <w:rPr>
          <w:rFonts w:asciiTheme="majorHAnsi" w:hAnsiTheme="majorHAnsi"/>
        </w:rPr>
        <w:t xml:space="preserve"> und qualitativen Gesichtspunkten bieten. Dabei werden auch der Umfang des Kundenvermögens und seine Relation zum Gesamtvolumen der von der </w:t>
      </w:r>
      <w:r w:rsidR="000B7C05" w:rsidRPr="004701C4">
        <w:rPr>
          <w:rFonts w:asciiTheme="majorHAnsi" w:hAnsiTheme="majorHAnsi"/>
          <w:smallCaps/>
        </w:rPr>
        <w:t>Gesellschaft</w:t>
      </w:r>
      <w:r w:rsidR="00642ED8" w:rsidRPr="004701C4">
        <w:rPr>
          <w:rFonts w:asciiTheme="majorHAnsi" w:hAnsiTheme="majorHAnsi"/>
        </w:rPr>
        <w:t xml:space="preserve"> verwa</w:t>
      </w:r>
      <w:r w:rsidR="00712406" w:rsidRPr="004701C4">
        <w:rPr>
          <w:rFonts w:asciiTheme="majorHAnsi" w:hAnsiTheme="majorHAnsi"/>
        </w:rPr>
        <w:t>lteten Vermögen berücksichtigt.</w:t>
      </w:r>
    </w:p>
    <w:p w14:paraId="5F37398C" w14:textId="56269C1B" w:rsidR="00B901C0" w:rsidRPr="004701C4" w:rsidRDefault="007C3563" w:rsidP="00484927">
      <w:pPr>
        <w:jc w:val="both"/>
        <w:rPr>
          <w:rFonts w:asciiTheme="majorHAnsi" w:hAnsiTheme="majorHAnsi"/>
        </w:rPr>
      </w:pPr>
      <w:r w:rsidRPr="00BD0643">
        <w:rPr>
          <w:rFonts w:asciiTheme="majorHAnsi" w:hAnsiTheme="majorHAnsi"/>
        </w:rPr>
        <w:t>Die Gesellschaft arbeitet im Zusammenhang mit der Emission anderer Finanzprodukte (insbesondere strukturierter Anleihen und verwalteten Zertifikaten) mit Drittanbietern zusammen. Entsprechende Finanzprodukte empfehlen wir auch Kunden und setzen diese in der diskretionären Vermögensverwaltung ein.</w:t>
      </w:r>
    </w:p>
    <w:p w14:paraId="64A79888" w14:textId="77777777" w:rsidR="00055423" w:rsidRPr="004701C4" w:rsidRDefault="00055423" w:rsidP="00055423">
      <w:pPr>
        <w:pStyle w:val="berschrift2"/>
        <w:ind w:left="567"/>
      </w:pPr>
      <w:bookmarkStart w:id="9" w:name="_Toc74047616"/>
      <w:r w:rsidRPr="004701C4">
        <w:t>Anlagestrategien und eingesetztes Anlageuniversum</w:t>
      </w:r>
      <w:bookmarkEnd w:id="9"/>
    </w:p>
    <w:p w14:paraId="0C939019" w14:textId="79ED5B89" w:rsidR="00055423" w:rsidRPr="004701C4" w:rsidRDefault="00055423" w:rsidP="00055423">
      <w:pPr>
        <w:jc w:val="both"/>
        <w:rPr>
          <w:rFonts w:asciiTheme="majorHAnsi" w:hAnsiTheme="majorHAnsi"/>
        </w:rPr>
      </w:pPr>
      <w:r w:rsidRPr="004701C4">
        <w:rPr>
          <w:rFonts w:asciiTheme="majorHAnsi" w:hAnsiTheme="majorHAnsi"/>
        </w:rPr>
        <w:t xml:space="preserve">Die </w:t>
      </w:r>
      <w:r w:rsidRPr="004701C4">
        <w:rPr>
          <w:rFonts w:asciiTheme="majorHAnsi" w:hAnsiTheme="majorHAnsi"/>
          <w:smallCaps/>
        </w:rPr>
        <w:t>Gesellschaft</w:t>
      </w:r>
      <w:r w:rsidRPr="004701C4">
        <w:rPr>
          <w:rFonts w:asciiTheme="majorHAnsi" w:hAnsiTheme="majorHAnsi"/>
        </w:rPr>
        <w:t xml:space="preserve"> bietet ihren Kunden auf deren Anlageziele ausgerichtete Standardstrategien oder vereinbart mit ihren Kunden individuelle Anlagestrategien. Wir streben an, dass die eingesetzten Anlagenstrategien auf die Kenntnisse und Erfahrungen der Kunden bei der Vermögensanlage abgestimmt sind. Wir behalten uns jedoch vor, im Rahmen diskretionärer</w:t>
      </w:r>
      <w:r w:rsidR="00075594" w:rsidRPr="004701C4">
        <w:rPr>
          <w:rFonts w:asciiTheme="majorHAnsi" w:hAnsiTheme="majorHAnsi"/>
        </w:rPr>
        <w:t xml:space="preserve"> Vermögensverwaltungsmandate auch</w:t>
      </w:r>
      <w:r w:rsidRPr="004701C4">
        <w:rPr>
          <w:rFonts w:asciiTheme="majorHAnsi" w:hAnsiTheme="majorHAnsi"/>
        </w:rPr>
        <w:t xml:space="preserve"> Finanzprodukte einzusetzen, die nicht dem Kenntnis- und Erfahrungshorizont des Kunden entsprechen, ohne dass wir den Kunden über die detaillierten Eigenschaften und Risiken dieser Produkte separat aufklären. Wünscht der Kunde eine Anlagestrategie, die seinen Kenntnissen, Erfahrungen oder seiner Risikotragfähigkeit nicht entsprechen, warnen wir unsere Kunden entsprechend. </w:t>
      </w:r>
    </w:p>
    <w:p w14:paraId="140BB7C5" w14:textId="77777777" w:rsidR="00055423" w:rsidRPr="004701C4" w:rsidRDefault="00055423" w:rsidP="00484927">
      <w:pPr>
        <w:jc w:val="both"/>
        <w:rPr>
          <w:rFonts w:asciiTheme="majorHAnsi" w:hAnsiTheme="majorHAnsi"/>
        </w:rPr>
      </w:pPr>
      <w:r w:rsidRPr="004701C4">
        <w:rPr>
          <w:rFonts w:asciiTheme="majorHAnsi" w:hAnsiTheme="majorHAnsi"/>
        </w:rPr>
        <w:t>Kunden, die keine diskretionäre Vermögensverwaltung, sondern eine Anlageberatung wünschen, beraten wir grundsätzlich im Kontext eines Portfolios, auf das unsere Beratung ausgerichtet sein soll. Dabei berücksichtigen wir die Anlageziele des Kunden, seine Kenntnisse und Erfahrungen sowie seine Risikoneigung und –</w:t>
      </w:r>
      <w:proofErr w:type="spellStart"/>
      <w:r w:rsidRPr="004701C4">
        <w:rPr>
          <w:rFonts w:asciiTheme="majorHAnsi" w:hAnsiTheme="majorHAnsi"/>
        </w:rPr>
        <w:t>tragfähigkeit</w:t>
      </w:r>
      <w:proofErr w:type="spellEnd"/>
      <w:r w:rsidRPr="004701C4">
        <w:rPr>
          <w:rFonts w:asciiTheme="majorHAnsi" w:hAnsiTheme="majorHAnsi"/>
        </w:rPr>
        <w:t xml:space="preserve">. Wir informieren unsere Beratungskunden nach den gesetzlichen Vorschriften über die Eigenschaften und Risiken von Finanzprodukten, die wir empfehlen. </w:t>
      </w:r>
    </w:p>
    <w:p w14:paraId="2095CC3F" w14:textId="515126DF" w:rsidR="000B6632" w:rsidRPr="004701C4" w:rsidRDefault="000B6632" w:rsidP="00484927">
      <w:pPr>
        <w:jc w:val="both"/>
        <w:rPr>
          <w:rFonts w:asciiTheme="majorHAnsi" w:hAnsiTheme="majorHAnsi"/>
        </w:rPr>
      </w:pPr>
      <w:r w:rsidRPr="004701C4">
        <w:rPr>
          <w:rFonts w:asciiTheme="majorHAnsi" w:hAnsiTheme="majorHAnsi"/>
        </w:rPr>
        <w:t>Das</w:t>
      </w:r>
      <w:r w:rsidR="00274D82" w:rsidRPr="004701C4">
        <w:rPr>
          <w:rFonts w:asciiTheme="majorHAnsi" w:hAnsiTheme="majorHAnsi"/>
        </w:rPr>
        <w:t xml:space="preserve"> von der</w:t>
      </w:r>
      <w:r w:rsidRPr="004701C4">
        <w:rPr>
          <w:rFonts w:asciiTheme="majorHAnsi" w:hAnsiTheme="majorHAnsi"/>
        </w:rPr>
        <w:t xml:space="preserve"> </w:t>
      </w:r>
      <w:r w:rsidRPr="004701C4">
        <w:rPr>
          <w:rFonts w:asciiTheme="majorHAnsi" w:hAnsiTheme="majorHAnsi"/>
          <w:smallCaps/>
        </w:rPr>
        <w:t>Gesellschaft</w:t>
      </w:r>
      <w:r w:rsidRPr="004701C4">
        <w:rPr>
          <w:rFonts w:asciiTheme="majorHAnsi" w:hAnsiTheme="majorHAnsi"/>
        </w:rPr>
        <w:t xml:space="preserve"> eingesetzte Anlageuniversum halten wir bewusst übersichtlich. Um den Kunden eine angemessene Diversifikation der Anlagechancen und –</w:t>
      </w:r>
      <w:proofErr w:type="spellStart"/>
      <w:r w:rsidRPr="004701C4">
        <w:rPr>
          <w:rFonts w:asciiTheme="majorHAnsi" w:hAnsiTheme="majorHAnsi"/>
        </w:rPr>
        <w:t>risiken</w:t>
      </w:r>
      <w:proofErr w:type="spellEnd"/>
      <w:r w:rsidRPr="004701C4">
        <w:rPr>
          <w:rFonts w:asciiTheme="majorHAnsi" w:hAnsiTheme="majorHAnsi"/>
        </w:rPr>
        <w:t xml:space="preserve"> zu ermöglichen, setzen wir schwergewichtig kollektive Kapitalanlagen, aktiv verwaltete Zertifikate und auch strukturierte Anleihen ein. Anlagen in Einzeltitel (z.B. einzelne Aktien) nutzen wir zur Setzung von Schwerpunkten in den Portfolio</w:t>
      </w:r>
      <w:r w:rsidR="00075594" w:rsidRPr="004701C4">
        <w:rPr>
          <w:rFonts w:asciiTheme="majorHAnsi" w:hAnsiTheme="majorHAnsi"/>
        </w:rPr>
        <w:t>s</w:t>
      </w:r>
      <w:r w:rsidRPr="004701C4">
        <w:rPr>
          <w:rFonts w:asciiTheme="majorHAnsi" w:hAnsiTheme="majorHAnsi"/>
        </w:rPr>
        <w:t xml:space="preserve"> im Hinblick auf eine Renditeoptimierung ein. Derivate und Termingeschäfte setzen wir gezielt zur Risikosteuerung des jeweiligen Gesamtportfolios mit grösstmöglicher Kosteneffizienz ein. </w:t>
      </w:r>
    </w:p>
    <w:p w14:paraId="2DC951E6" w14:textId="77777777" w:rsidR="00642ED8" w:rsidRPr="004701C4" w:rsidRDefault="00B10F1C" w:rsidP="00B44A5B">
      <w:pPr>
        <w:pStyle w:val="berschrift2"/>
        <w:ind w:left="567"/>
        <w:rPr>
          <w:b w:val="0"/>
        </w:rPr>
      </w:pPr>
      <w:bookmarkStart w:id="10" w:name="_Toc74047617"/>
      <w:r w:rsidRPr="004701C4">
        <w:lastRenderedPageBreak/>
        <w:t>I</w:t>
      </w:r>
      <w:r w:rsidR="00642ED8" w:rsidRPr="004701C4">
        <w:t>nformationen zur Art und Umfang der Risikoaufklärung</w:t>
      </w:r>
      <w:bookmarkEnd w:id="10"/>
    </w:p>
    <w:p w14:paraId="1F57A332" w14:textId="6DC5F581" w:rsidR="00F8294B" w:rsidRPr="004701C4" w:rsidRDefault="00642ED8" w:rsidP="00484927">
      <w:pPr>
        <w:jc w:val="both"/>
        <w:rPr>
          <w:rFonts w:asciiTheme="majorHAnsi" w:hAnsiTheme="majorHAnsi"/>
        </w:rPr>
      </w:pPr>
      <w:r w:rsidRPr="004701C4">
        <w:rPr>
          <w:rFonts w:asciiTheme="majorHAnsi" w:hAnsiTheme="majorHAnsi"/>
        </w:rPr>
        <w:t xml:space="preserve">Die </w:t>
      </w:r>
      <w:r w:rsidR="000B7C05" w:rsidRPr="004701C4">
        <w:rPr>
          <w:rFonts w:asciiTheme="majorHAnsi" w:hAnsiTheme="majorHAnsi"/>
          <w:smallCaps/>
        </w:rPr>
        <w:t>Gesellschaft</w:t>
      </w:r>
      <w:r w:rsidRPr="004701C4">
        <w:rPr>
          <w:rFonts w:asciiTheme="majorHAnsi" w:hAnsiTheme="majorHAnsi"/>
        </w:rPr>
        <w:t xml:space="preserve"> klärt den Kunden unaufgefordert über die mit </w:t>
      </w:r>
      <w:r w:rsidR="00712406" w:rsidRPr="004701C4">
        <w:rPr>
          <w:rFonts w:asciiTheme="majorHAnsi" w:hAnsiTheme="majorHAnsi"/>
        </w:rPr>
        <w:t xml:space="preserve">dem Kauf, Verkauf und Halten von </w:t>
      </w:r>
      <w:r w:rsidR="00B901C0" w:rsidRPr="004701C4">
        <w:rPr>
          <w:rFonts w:asciiTheme="majorHAnsi" w:hAnsiTheme="majorHAnsi"/>
        </w:rPr>
        <w:t>Finanzprodukten</w:t>
      </w:r>
      <w:r w:rsidR="00712406" w:rsidRPr="004701C4">
        <w:rPr>
          <w:rFonts w:asciiTheme="majorHAnsi" w:hAnsiTheme="majorHAnsi"/>
        </w:rPr>
        <w:t xml:space="preserve"> verbundenen besonderen Risiken auf. Hierzu verwendet die </w:t>
      </w:r>
      <w:r w:rsidR="000B7C05" w:rsidRPr="004701C4">
        <w:rPr>
          <w:rFonts w:asciiTheme="majorHAnsi" w:hAnsiTheme="majorHAnsi"/>
          <w:smallCaps/>
        </w:rPr>
        <w:t>Gesellschaft</w:t>
      </w:r>
      <w:r w:rsidR="00712406" w:rsidRPr="004701C4">
        <w:rPr>
          <w:rFonts w:asciiTheme="majorHAnsi" w:hAnsiTheme="majorHAnsi"/>
          <w:smallCaps/>
        </w:rPr>
        <w:t xml:space="preserve"> </w:t>
      </w:r>
      <w:r w:rsidR="00712406" w:rsidRPr="004701C4">
        <w:rPr>
          <w:rFonts w:asciiTheme="majorHAnsi" w:hAnsiTheme="majorHAnsi"/>
        </w:rPr>
        <w:t xml:space="preserve">die Broschüre </w:t>
      </w:r>
      <w:r w:rsidR="00712406" w:rsidRPr="004701C4">
        <w:rPr>
          <w:rFonts w:asciiTheme="majorHAnsi" w:hAnsiTheme="majorHAnsi"/>
          <w:i/>
        </w:rPr>
        <w:t xml:space="preserve">„Risiken im </w:t>
      </w:r>
      <w:r w:rsidR="00B901C0" w:rsidRPr="004701C4">
        <w:rPr>
          <w:rFonts w:asciiTheme="majorHAnsi" w:hAnsiTheme="majorHAnsi"/>
          <w:i/>
        </w:rPr>
        <w:t>Handel mit F</w:t>
      </w:r>
      <w:r w:rsidR="00F8294B" w:rsidRPr="004701C4">
        <w:rPr>
          <w:rFonts w:asciiTheme="majorHAnsi" w:hAnsiTheme="majorHAnsi"/>
          <w:i/>
        </w:rPr>
        <w:t>i</w:t>
      </w:r>
      <w:r w:rsidR="00B901C0" w:rsidRPr="004701C4">
        <w:rPr>
          <w:rFonts w:asciiTheme="majorHAnsi" w:hAnsiTheme="majorHAnsi"/>
          <w:i/>
        </w:rPr>
        <w:t>nanzinstrumenten</w:t>
      </w:r>
      <w:r w:rsidR="00712406" w:rsidRPr="004701C4">
        <w:rPr>
          <w:rFonts w:asciiTheme="majorHAnsi" w:hAnsiTheme="majorHAnsi"/>
          <w:i/>
        </w:rPr>
        <w:t>“</w:t>
      </w:r>
      <w:r w:rsidR="00712406" w:rsidRPr="004701C4">
        <w:rPr>
          <w:rFonts w:asciiTheme="majorHAnsi" w:hAnsiTheme="majorHAnsi"/>
        </w:rPr>
        <w:t xml:space="preserve"> der Schweizerischen Bankiervereinigung. </w:t>
      </w:r>
      <w:r w:rsidR="00F8294B" w:rsidRPr="004701C4">
        <w:rPr>
          <w:rFonts w:asciiTheme="majorHAnsi" w:hAnsiTheme="majorHAnsi"/>
        </w:rPr>
        <w:t xml:space="preserve">Wir lassen von unseren Kunden bei Vertragsabschluss bestätigen, diese Broschüre erhalten, gelesen und verstanden zu haben. Versteht der Kunde die in der erwähnten Broschüre genannten Informationen nicht, so </w:t>
      </w:r>
      <w:r w:rsidR="00075594" w:rsidRPr="004701C4">
        <w:rPr>
          <w:rFonts w:asciiTheme="majorHAnsi" w:hAnsiTheme="majorHAnsi"/>
        </w:rPr>
        <w:t>erwarten wir, dass</w:t>
      </w:r>
      <w:r w:rsidR="00F8294B" w:rsidRPr="004701C4">
        <w:rPr>
          <w:rFonts w:asciiTheme="majorHAnsi" w:hAnsiTheme="majorHAnsi"/>
        </w:rPr>
        <w:t xml:space="preserve"> er uns ausdrücklich um weitergehende Information bzw. Auskunft ersucht.</w:t>
      </w:r>
    </w:p>
    <w:p w14:paraId="001C8950" w14:textId="69F23D1B" w:rsidR="00430AAE" w:rsidRPr="004701C4" w:rsidRDefault="000C7CBF" w:rsidP="00430AAE">
      <w:pPr>
        <w:jc w:val="both"/>
        <w:rPr>
          <w:rFonts w:asciiTheme="majorHAnsi" w:hAnsiTheme="majorHAnsi" w:cstheme="minorHAnsi"/>
          <w:iCs/>
        </w:rPr>
      </w:pPr>
      <w:r w:rsidRPr="004701C4">
        <w:rPr>
          <w:rFonts w:asciiTheme="majorHAnsi" w:hAnsiTheme="majorHAnsi"/>
        </w:rPr>
        <w:t xml:space="preserve">Vereinbart der </w:t>
      </w:r>
      <w:r w:rsidR="00430AAE" w:rsidRPr="004701C4">
        <w:rPr>
          <w:rFonts w:asciiTheme="majorHAnsi" w:hAnsiTheme="majorHAnsi" w:cstheme="minorHAnsi"/>
          <w:iCs/>
        </w:rPr>
        <w:t>Kunde</w:t>
      </w:r>
      <w:r w:rsidRPr="004701C4">
        <w:rPr>
          <w:rFonts w:asciiTheme="majorHAnsi" w:hAnsiTheme="majorHAnsi" w:cstheme="minorHAnsi"/>
          <w:iCs/>
        </w:rPr>
        <w:t xml:space="preserve"> mit der Gesellschaft eine diskretionäre Vermögensverwalt</w:t>
      </w:r>
      <w:r w:rsidR="00075594" w:rsidRPr="004701C4">
        <w:rPr>
          <w:rFonts w:asciiTheme="majorHAnsi" w:hAnsiTheme="majorHAnsi" w:cstheme="minorHAnsi"/>
          <w:iCs/>
        </w:rPr>
        <w:t>ung</w:t>
      </w:r>
      <w:r w:rsidRPr="004701C4">
        <w:rPr>
          <w:rFonts w:asciiTheme="majorHAnsi" w:hAnsiTheme="majorHAnsi" w:cstheme="minorHAnsi"/>
          <w:iCs/>
        </w:rPr>
        <w:t>, so wird die Gesellschaft die Anlagen im Hinblick auf die vom Kunden mitgeteilten Anlageziele und im Rahmen der mit dem Kunden festgelegten Anlagestrategie selbständig und ohne Zustimmung des Kunden im Einzelfall tätigen. Die Gesellschaft stützt sich dabei auch auf den zeitlichen Anlagehorizont des Kunden ab. Im Rahmen mehrjähriger Anlagehorizonte wird die Gesellschaft auch in Finanzinstrumente investieren, die auf eine längerfristige Anlage ausgerichtet sind, und deshalb unter Umständen nicht sofort zu marktkonformen Preisen (namentlich nicht an einer Börse) verkauft oder zurückgeben werden können</w:t>
      </w:r>
      <w:r w:rsidR="00075594" w:rsidRPr="004701C4">
        <w:rPr>
          <w:rFonts w:asciiTheme="majorHAnsi" w:hAnsiTheme="majorHAnsi" w:cstheme="minorHAnsi"/>
          <w:iCs/>
        </w:rPr>
        <w:t>.</w:t>
      </w:r>
      <w:r w:rsidRPr="004701C4">
        <w:rPr>
          <w:rFonts w:asciiTheme="majorHAnsi" w:hAnsiTheme="majorHAnsi" w:cstheme="minorHAnsi"/>
          <w:iCs/>
        </w:rPr>
        <w:t xml:space="preserve"> Die Gesellschaft kann in diesem Zusammenhang auch in Finanzinstrumente investieren, die Privatkunden im Sinne des Finanzdienstleistungsgesetzes nicht angeboten werden dürfen, nicht an einer Börse gehandelt werden oder nur periodisch oder an </w:t>
      </w:r>
      <w:r w:rsidR="00430AAE" w:rsidRPr="004701C4">
        <w:rPr>
          <w:rFonts w:asciiTheme="majorHAnsi" w:hAnsiTheme="majorHAnsi" w:cstheme="minorHAnsi"/>
          <w:iCs/>
        </w:rPr>
        <w:t xml:space="preserve">bestimmten Terminen gekündigt werden können. Dies kann die Verfügbarkeit </w:t>
      </w:r>
      <w:r w:rsidRPr="004701C4">
        <w:rPr>
          <w:rFonts w:asciiTheme="majorHAnsi" w:hAnsiTheme="majorHAnsi" w:cstheme="minorHAnsi"/>
          <w:iCs/>
        </w:rPr>
        <w:t>von</w:t>
      </w:r>
      <w:r w:rsidR="00430AAE" w:rsidRPr="004701C4">
        <w:rPr>
          <w:rFonts w:asciiTheme="majorHAnsi" w:hAnsiTheme="majorHAnsi" w:cstheme="minorHAnsi"/>
          <w:iCs/>
        </w:rPr>
        <w:t xml:space="preserve"> Veräusserungserlöse</w:t>
      </w:r>
      <w:r w:rsidRPr="004701C4">
        <w:rPr>
          <w:rFonts w:asciiTheme="majorHAnsi" w:hAnsiTheme="majorHAnsi" w:cstheme="minorHAnsi"/>
          <w:iCs/>
        </w:rPr>
        <w:t>n</w:t>
      </w:r>
      <w:r w:rsidR="00430AAE" w:rsidRPr="004701C4">
        <w:rPr>
          <w:rFonts w:asciiTheme="majorHAnsi" w:hAnsiTheme="majorHAnsi" w:cstheme="minorHAnsi"/>
          <w:iCs/>
        </w:rPr>
        <w:t xml:space="preserve"> hinauszögern. </w:t>
      </w:r>
    </w:p>
    <w:p w14:paraId="15A00D99" w14:textId="3C9C47C9" w:rsidR="00642ED8" w:rsidRPr="004701C4" w:rsidRDefault="00F8294B" w:rsidP="00055423">
      <w:pPr>
        <w:jc w:val="both"/>
        <w:rPr>
          <w:rFonts w:asciiTheme="majorHAnsi" w:hAnsiTheme="majorHAnsi"/>
        </w:rPr>
      </w:pPr>
      <w:r w:rsidRPr="004701C4">
        <w:rPr>
          <w:rFonts w:asciiTheme="majorHAnsi" w:hAnsiTheme="majorHAnsi"/>
        </w:rPr>
        <w:t xml:space="preserve">Über </w:t>
      </w:r>
      <w:r w:rsidR="00430AAE" w:rsidRPr="004701C4">
        <w:rPr>
          <w:rFonts w:asciiTheme="majorHAnsi" w:hAnsiTheme="majorHAnsi"/>
        </w:rPr>
        <w:t xml:space="preserve">weitere </w:t>
      </w:r>
      <w:r w:rsidRPr="004701C4">
        <w:rPr>
          <w:rFonts w:asciiTheme="majorHAnsi" w:hAnsiTheme="majorHAnsi"/>
        </w:rPr>
        <w:t>R</w:t>
      </w:r>
      <w:r w:rsidR="00430AAE" w:rsidRPr="004701C4">
        <w:rPr>
          <w:rFonts w:asciiTheme="majorHAnsi" w:hAnsiTheme="majorHAnsi"/>
        </w:rPr>
        <w:t>isiken</w:t>
      </w:r>
      <w:r w:rsidRPr="004701C4">
        <w:rPr>
          <w:rFonts w:asciiTheme="majorHAnsi" w:hAnsiTheme="majorHAnsi"/>
        </w:rPr>
        <w:t xml:space="preserve"> der von der </w:t>
      </w:r>
      <w:r w:rsidR="00430AAE" w:rsidRPr="004701C4">
        <w:rPr>
          <w:rFonts w:asciiTheme="majorHAnsi" w:hAnsiTheme="majorHAnsi"/>
        </w:rPr>
        <w:t>Gesellschaft</w:t>
      </w:r>
      <w:r w:rsidRPr="004701C4">
        <w:rPr>
          <w:rFonts w:asciiTheme="majorHAnsi" w:hAnsiTheme="majorHAnsi"/>
        </w:rPr>
        <w:t xml:space="preserve"> </w:t>
      </w:r>
      <w:r w:rsidR="00430AAE" w:rsidRPr="004701C4">
        <w:rPr>
          <w:rFonts w:asciiTheme="majorHAnsi" w:hAnsiTheme="majorHAnsi"/>
        </w:rPr>
        <w:t xml:space="preserve">für ihre Kunden eingesetzten Anlagestrategien bei der diskretionären Vermögensverwaltung wird der Kunde im Rahmen eines Beratungsgesprächs informiert. </w:t>
      </w:r>
    </w:p>
    <w:p w14:paraId="38366CA4" w14:textId="5801B034" w:rsidR="001A1A90" w:rsidRPr="004701C4" w:rsidRDefault="00A77ED9" w:rsidP="00484927">
      <w:pPr>
        <w:jc w:val="both"/>
        <w:rPr>
          <w:rFonts w:asciiTheme="majorHAnsi" w:hAnsiTheme="majorHAnsi"/>
        </w:rPr>
      </w:pPr>
      <w:r w:rsidRPr="004701C4">
        <w:rPr>
          <w:rFonts w:asciiTheme="majorHAnsi" w:hAnsiTheme="majorHAnsi"/>
        </w:rPr>
        <w:t xml:space="preserve">Die </w:t>
      </w:r>
      <w:r w:rsidR="000B7C05" w:rsidRPr="004701C4">
        <w:rPr>
          <w:rFonts w:asciiTheme="majorHAnsi" w:hAnsiTheme="majorHAnsi"/>
          <w:smallCaps/>
        </w:rPr>
        <w:t>Gesellschaft</w:t>
      </w:r>
      <w:r w:rsidRPr="004701C4">
        <w:rPr>
          <w:rFonts w:asciiTheme="majorHAnsi" w:hAnsiTheme="majorHAnsi"/>
        </w:rPr>
        <w:t xml:space="preserve"> will ihren Kunden </w:t>
      </w:r>
      <w:r w:rsidR="000B6632" w:rsidRPr="004701C4">
        <w:rPr>
          <w:rFonts w:asciiTheme="majorHAnsi" w:hAnsiTheme="majorHAnsi"/>
        </w:rPr>
        <w:t xml:space="preserve">nach Möglichkeit </w:t>
      </w:r>
      <w:r w:rsidR="00430AAE" w:rsidRPr="004701C4">
        <w:rPr>
          <w:rFonts w:asciiTheme="majorHAnsi" w:hAnsiTheme="majorHAnsi"/>
        </w:rPr>
        <w:t xml:space="preserve">Dienstleistungen </w:t>
      </w:r>
      <w:r w:rsidRPr="004701C4">
        <w:rPr>
          <w:rFonts w:asciiTheme="majorHAnsi" w:hAnsiTheme="majorHAnsi"/>
        </w:rPr>
        <w:t>anbieten, die deren Vermögenssituation, ihrer Risikoertragfähigkeit sowie ihrer Risikobereitschaft angepasst sind. Dies setzt voraus, dass die Vermögenssituation de</w:t>
      </w:r>
      <w:r w:rsidR="00E7600F" w:rsidRPr="004701C4">
        <w:rPr>
          <w:rFonts w:asciiTheme="majorHAnsi" w:hAnsiTheme="majorHAnsi"/>
        </w:rPr>
        <w:t>s</w:t>
      </w:r>
      <w:r w:rsidRPr="004701C4">
        <w:rPr>
          <w:rFonts w:asciiTheme="majorHAnsi" w:hAnsiTheme="majorHAnsi"/>
        </w:rPr>
        <w:t xml:space="preserve"> Kunden sowie </w:t>
      </w:r>
      <w:r w:rsidR="00E7600F" w:rsidRPr="004701C4">
        <w:rPr>
          <w:rFonts w:asciiTheme="majorHAnsi" w:hAnsiTheme="majorHAnsi"/>
        </w:rPr>
        <w:t>dessen</w:t>
      </w:r>
      <w:r w:rsidRPr="004701C4">
        <w:rPr>
          <w:rFonts w:asciiTheme="majorHAnsi" w:hAnsiTheme="majorHAnsi"/>
        </w:rPr>
        <w:t xml:space="preserve"> finanziellen Kenntnisse und Erfahrungen bekannt </w:t>
      </w:r>
      <w:r w:rsidR="00B94828" w:rsidRPr="004701C4">
        <w:rPr>
          <w:rFonts w:asciiTheme="majorHAnsi" w:hAnsiTheme="majorHAnsi"/>
        </w:rPr>
        <w:t>sind.</w:t>
      </w:r>
      <w:r w:rsidRPr="004701C4">
        <w:rPr>
          <w:rFonts w:asciiTheme="majorHAnsi" w:hAnsiTheme="majorHAnsi"/>
        </w:rPr>
        <w:t xml:space="preserve"> Macht ein Kunde keine, unvollständige oder falsche Angaben </w:t>
      </w:r>
      <w:r w:rsidR="00E7600F" w:rsidRPr="004701C4">
        <w:rPr>
          <w:rFonts w:asciiTheme="majorHAnsi" w:hAnsiTheme="majorHAnsi"/>
        </w:rPr>
        <w:t>hierzu</w:t>
      </w:r>
      <w:r w:rsidRPr="004701C4">
        <w:rPr>
          <w:rFonts w:asciiTheme="majorHAnsi" w:hAnsiTheme="majorHAnsi"/>
        </w:rPr>
        <w:t xml:space="preserve">, so kann die </w:t>
      </w:r>
      <w:r w:rsidR="000B7C05" w:rsidRPr="004701C4">
        <w:rPr>
          <w:rFonts w:asciiTheme="majorHAnsi" w:hAnsiTheme="majorHAnsi"/>
          <w:smallCaps/>
        </w:rPr>
        <w:t>Gesellschaft</w:t>
      </w:r>
      <w:r w:rsidRPr="004701C4">
        <w:rPr>
          <w:rFonts w:asciiTheme="majorHAnsi" w:hAnsiTheme="majorHAnsi"/>
        </w:rPr>
        <w:t xml:space="preserve"> auch nicht sicherstellen, dass die empfohlenen und umgesetzten Strategien und individuellen Anlagen den Gesamtverhältnissen </w:t>
      </w:r>
      <w:r w:rsidR="00E7600F" w:rsidRPr="004701C4">
        <w:rPr>
          <w:rFonts w:asciiTheme="majorHAnsi" w:hAnsiTheme="majorHAnsi"/>
        </w:rPr>
        <w:t>des</w:t>
      </w:r>
      <w:r w:rsidRPr="004701C4">
        <w:rPr>
          <w:rFonts w:asciiTheme="majorHAnsi" w:hAnsiTheme="majorHAnsi"/>
        </w:rPr>
        <w:t xml:space="preserve"> Kunden angemessen sind. Daraus können unterschiedliche Risiken oder Konzentrationen von Risiken entstehen, insbesondere hinsichtlich einseitiger Anlagen, unangemessenem Gesamtmix von Investitionen etc. Diese Risiken sind für die </w:t>
      </w:r>
      <w:r w:rsidR="000B7C05" w:rsidRPr="004701C4">
        <w:rPr>
          <w:rFonts w:asciiTheme="majorHAnsi" w:hAnsiTheme="majorHAnsi"/>
          <w:smallCaps/>
        </w:rPr>
        <w:t>Gesellschaft</w:t>
      </w:r>
      <w:r w:rsidRPr="004701C4">
        <w:rPr>
          <w:rFonts w:asciiTheme="majorHAnsi" w:hAnsiTheme="majorHAnsi"/>
        </w:rPr>
        <w:t xml:space="preserve"> mangels entsprechender Information nicht erfassbar, nicht überschaubar und auch nicht kontrollierba</w:t>
      </w:r>
      <w:r w:rsidR="001A1A90" w:rsidRPr="004701C4">
        <w:rPr>
          <w:rFonts w:asciiTheme="majorHAnsi" w:hAnsiTheme="majorHAnsi"/>
        </w:rPr>
        <w:t xml:space="preserve">r. </w:t>
      </w:r>
      <w:r w:rsidR="00430AAE" w:rsidRPr="004701C4">
        <w:rPr>
          <w:rFonts w:asciiTheme="majorHAnsi" w:hAnsiTheme="majorHAnsi"/>
        </w:rPr>
        <w:t>Wir erwarten, dass unsere Kunden bei wesentlichen Veränderungen in ihren finanziellen Verhältnissen das Gespräch mit uns suchen</w:t>
      </w:r>
      <w:r w:rsidR="00075594" w:rsidRPr="004701C4">
        <w:rPr>
          <w:rFonts w:asciiTheme="majorHAnsi" w:hAnsiTheme="majorHAnsi"/>
        </w:rPr>
        <w:t>,</w:t>
      </w:r>
      <w:r w:rsidR="00430AAE" w:rsidRPr="004701C4">
        <w:rPr>
          <w:rFonts w:asciiTheme="majorHAnsi" w:hAnsiTheme="majorHAnsi"/>
        </w:rPr>
        <w:t xml:space="preserve"> damit wir in sachgerechter Weise überprüfen können, ob vereinbarte Strategien und individuelle Anlagen ihren persönlichen Verhältnissen weiterhin angemessen sind. </w:t>
      </w:r>
    </w:p>
    <w:p w14:paraId="0EDB03DC" w14:textId="463109F1" w:rsidR="00A77ED9" w:rsidRPr="004701C4" w:rsidRDefault="0048492D" w:rsidP="00EF58E8">
      <w:pPr>
        <w:pStyle w:val="berschrift2"/>
        <w:ind w:left="567"/>
        <w:rPr>
          <w:b w:val="0"/>
          <w:sz w:val="18"/>
          <w:szCs w:val="18"/>
        </w:rPr>
      </w:pPr>
      <w:bookmarkStart w:id="11" w:name="_Toc74047618"/>
      <w:r w:rsidRPr="004701C4">
        <w:t>Honorar und Abgeltung</w:t>
      </w:r>
      <w:r w:rsidR="00E7600F" w:rsidRPr="004701C4">
        <w:t xml:space="preserve"> der </w:t>
      </w:r>
      <w:r w:rsidR="000B7C05" w:rsidRPr="004701C4">
        <w:t>Gesellschaft</w:t>
      </w:r>
      <w:bookmarkEnd w:id="11"/>
      <w:r w:rsidR="00665AD5" w:rsidRPr="004701C4">
        <w:t xml:space="preserve"> </w:t>
      </w:r>
    </w:p>
    <w:p w14:paraId="032FCEFD" w14:textId="233D77D9" w:rsidR="00A86E95" w:rsidRPr="004701C4" w:rsidRDefault="00A86E95" w:rsidP="00A86E95">
      <w:pPr>
        <w:jc w:val="both"/>
        <w:rPr>
          <w:rFonts w:asciiTheme="majorHAnsi" w:hAnsiTheme="majorHAnsi"/>
        </w:rPr>
      </w:pPr>
      <w:r w:rsidRPr="004701C4">
        <w:rPr>
          <w:rFonts w:asciiTheme="majorHAnsi" w:hAnsiTheme="majorHAnsi"/>
        </w:rPr>
        <w:t xml:space="preserve">Die </w:t>
      </w:r>
      <w:r w:rsidRPr="004701C4">
        <w:rPr>
          <w:rFonts w:asciiTheme="majorHAnsi" w:hAnsiTheme="majorHAnsi"/>
          <w:smallCaps/>
        </w:rPr>
        <w:t>Gesellschaft</w:t>
      </w:r>
      <w:r w:rsidRPr="004701C4">
        <w:rPr>
          <w:rFonts w:asciiTheme="majorHAnsi" w:hAnsiTheme="majorHAnsi"/>
        </w:rPr>
        <w:t xml:space="preserve"> ist bemüht, dem Kunden ein gutes Kosten</w:t>
      </w:r>
      <w:r w:rsidR="00075594" w:rsidRPr="004701C4">
        <w:rPr>
          <w:rFonts w:asciiTheme="majorHAnsi" w:hAnsiTheme="majorHAnsi"/>
        </w:rPr>
        <w:t>-</w:t>
      </w:r>
      <w:r w:rsidRPr="004701C4">
        <w:rPr>
          <w:rFonts w:asciiTheme="majorHAnsi" w:hAnsiTheme="majorHAnsi"/>
        </w:rPr>
        <w:t>/Leistungsverhältnis zu bieten. Dabei orientiert sie sich insbesondere an den Gesamtkosten, welche dem Kunden im Zusammenhang mit der</w:t>
      </w:r>
      <w:r w:rsidR="00075594" w:rsidRPr="004701C4">
        <w:rPr>
          <w:rFonts w:asciiTheme="majorHAnsi" w:hAnsiTheme="majorHAnsi"/>
        </w:rPr>
        <w:t xml:space="preserve"> Vermögensverwaltung entstehen. Da i</w:t>
      </w:r>
      <w:r w:rsidRPr="004701C4">
        <w:rPr>
          <w:rFonts w:asciiTheme="majorHAnsi" w:hAnsiTheme="majorHAnsi"/>
        </w:rPr>
        <w:t>n vielen auch qualitativ de</w:t>
      </w:r>
      <w:r w:rsidR="00075594" w:rsidRPr="004701C4">
        <w:rPr>
          <w:rFonts w:asciiTheme="majorHAnsi" w:hAnsiTheme="majorHAnsi"/>
        </w:rPr>
        <w:t>m</w:t>
      </w:r>
      <w:r w:rsidRPr="004701C4">
        <w:rPr>
          <w:rFonts w:asciiTheme="majorHAnsi" w:hAnsiTheme="majorHAnsi"/>
        </w:rPr>
        <w:t xml:space="preserve"> Standard der </w:t>
      </w:r>
      <w:r w:rsidRPr="004701C4">
        <w:rPr>
          <w:rFonts w:asciiTheme="majorHAnsi" w:hAnsiTheme="majorHAnsi"/>
          <w:smallCaps/>
        </w:rPr>
        <w:t>Gesellschaft</w:t>
      </w:r>
      <w:r w:rsidRPr="004701C4">
        <w:rPr>
          <w:rFonts w:asciiTheme="majorHAnsi" w:hAnsiTheme="majorHAnsi"/>
        </w:rPr>
        <w:t xml:space="preserve"> entsprechenden Finanzdienstleistungen und –</w:t>
      </w:r>
      <w:proofErr w:type="spellStart"/>
      <w:r w:rsidRPr="004701C4">
        <w:rPr>
          <w:rFonts w:asciiTheme="majorHAnsi" w:hAnsiTheme="majorHAnsi"/>
        </w:rPr>
        <w:t>produkten</w:t>
      </w:r>
      <w:proofErr w:type="spellEnd"/>
      <w:r w:rsidRPr="004701C4">
        <w:rPr>
          <w:rFonts w:asciiTheme="majorHAnsi" w:hAnsiTheme="majorHAnsi"/>
        </w:rPr>
        <w:t xml:space="preserve"> Vermarktungskosten im Preis </w:t>
      </w:r>
      <w:r w:rsidRPr="004701C4">
        <w:rPr>
          <w:rFonts w:asciiTheme="majorHAnsi" w:hAnsiTheme="majorHAnsi"/>
        </w:rPr>
        <w:lastRenderedPageBreak/>
        <w:t xml:space="preserve">enthalten sind, versucht die </w:t>
      </w:r>
      <w:r w:rsidRPr="004701C4">
        <w:rPr>
          <w:rFonts w:asciiTheme="majorHAnsi" w:hAnsiTheme="majorHAnsi"/>
          <w:smallCaps/>
        </w:rPr>
        <w:t>Gesellschaft,</w:t>
      </w:r>
      <w:r w:rsidRPr="004701C4">
        <w:rPr>
          <w:rFonts w:asciiTheme="majorHAnsi" w:hAnsiTheme="majorHAnsi"/>
        </w:rPr>
        <w:t xml:space="preserve"> einen Teil dieser Vermarktungskosten zu erhalten. Diese Erträge fliessen in die allgemeine Erfolgsrechnung der </w:t>
      </w:r>
      <w:r w:rsidRPr="004701C4">
        <w:rPr>
          <w:rFonts w:asciiTheme="majorHAnsi" w:hAnsiTheme="majorHAnsi"/>
          <w:smallCaps/>
        </w:rPr>
        <w:t>Gesellschaft</w:t>
      </w:r>
      <w:r w:rsidRPr="004701C4">
        <w:rPr>
          <w:rFonts w:asciiTheme="majorHAnsi" w:hAnsiTheme="majorHAnsi"/>
        </w:rPr>
        <w:t xml:space="preserve"> und</w:t>
      </w:r>
      <w:r w:rsidRPr="004701C4">
        <w:rPr>
          <w:rFonts w:asciiTheme="majorHAnsi" w:hAnsiTheme="majorHAnsi"/>
          <w:smallCaps/>
        </w:rPr>
        <w:t xml:space="preserve"> </w:t>
      </w:r>
      <w:r w:rsidRPr="004701C4">
        <w:rPr>
          <w:rFonts w:asciiTheme="majorHAnsi" w:hAnsiTheme="majorHAnsi"/>
        </w:rPr>
        <w:t xml:space="preserve">kommen dem Kunden für den Fall, dass er die Vertragsvariante gewählt hat, bei der die Gesellschaft befugt ist, die vorstehend erwähnten Abgeltungen von Dritten zu erhalten, aber via im Verhältnis reduzierte </w:t>
      </w:r>
      <w:r w:rsidR="00075594" w:rsidRPr="004701C4">
        <w:rPr>
          <w:rFonts w:asciiTheme="majorHAnsi" w:hAnsiTheme="majorHAnsi"/>
        </w:rPr>
        <w:t>Vermögensverwaltungsgebühren zu</w:t>
      </w:r>
      <w:r w:rsidRPr="004701C4">
        <w:rPr>
          <w:rFonts w:asciiTheme="majorHAnsi" w:hAnsiTheme="majorHAnsi"/>
        </w:rPr>
        <w:t>gute. Die Entlöhnung der Mitarbeiter steht nicht in direkter Abhängigkeit von den Zuwendungen von dritter Seite. Die Abgeltungen von Banken, Fonds-Gesellschaften und Emittenten dienen der Deckung betrieblicher Kosten, welche der Verbesserung der Dienstleistungsqualität dient.</w:t>
      </w:r>
    </w:p>
    <w:p w14:paraId="5C247F00" w14:textId="62573B44" w:rsidR="00F10E72" w:rsidRPr="004701C4" w:rsidRDefault="0048492D" w:rsidP="00484927">
      <w:pPr>
        <w:jc w:val="both"/>
        <w:rPr>
          <w:rFonts w:asciiTheme="majorHAnsi" w:hAnsiTheme="majorHAnsi"/>
        </w:rPr>
      </w:pPr>
      <w:r w:rsidRPr="004701C4">
        <w:rPr>
          <w:rFonts w:asciiTheme="majorHAnsi" w:hAnsiTheme="majorHAnsi"/>
        </w:rPr>
        <w:t xml:space="preserve">Die Honorierung der </w:t>
      </w:r>
      <w:r w:rsidR="000B7C05" w:rsidRPr="004701C4">
        <w:rPr>
          <w:rFonts w:asciiTheme="majorHAnsi" w:hAnsiTheme="majorHAnsi"/>
          <w:smallCaps/>
        </w:rPr>
        <w:t>Gesellschaft</w:t>
      </w:r>
      <w:r w:rsidRPr="004701C4">
        <w:rPr>
          <w:rFonts w:asciiTheme="majorHAnsi" w:hAnsiTheme="majorHAnsi"/>
        </w:rPr>
        <w:t xml:space="preserve"> für ihre Leistungen besteht aus dem von ihren Kunden bezahlten Verwaltungshonorar und </w:t>
      </w:r>
      <w:r w:rsidR="00F10E72" w:rsidRPr="004701C4">
        <w:rPr>
          <w:rFonts w:asciiTheme="majorHAnsi" w:hAnsiTheme="majorHAnsi"/>
        </w:rPr>
        <w:t>kann auch aus</w:t>
      </w:r>
      <w:r w:rsidR="00E7600F" w:rsidRPr="004701C4">
        <w:rPr>
          <w:rFonts w:asciiTheme="majorHAnsi" w:hAnsiTheme="majorHAnsi"/>
        </w:rPr>
        <w:t xml:space="preserve"> </w:t>
      </w:r>
      <w:r w:rsidRPr="004701C4">
        <w:rPr>
          <w:rFonts w:asciiTheme="majorHAnsi" w:hAnsiTheme="majorHAnsi"/>
        </w:rPr>
        <w:t>Abgeltungen von Banken, Fonds</w:t>
      </w:r>
      <w:r w:rsidR="00F524E6" w:rsidRPr="004701C4">
        <w:rPr>
          <w:rFonts w:asciiTheme="majorHAnsi" w:hAnsiTheme="majorHAnsi"/>
        </w:rPr>
        <w:t>-</w:t>
      </w:r>
      <w:r w:rsidR="000B7C05" w:rsidRPr="004701C4">
        <w:rPr>
          <w:rFonts w:asciiTheme="majorHAnsi" w:hAnsiTheme="majorHAnsi"/>
        </w:rPr>
        <w:t>Gesellschaft</w:t>
      </w:r>
      <w:r w:rsidRPr="004701C4">
        <w:rPr>
          <w:rFonts w:asciiTheme="majorHAnsi" w:hAnsiTheme="majorHAnsi"/>
        </w:rPr>
        <w:t>en und Emittenten</w:t>
      </w:r>
      <w:r w:rsidR="00F10E72" w:rsidRPr="004701C4">
        <w:rPr>
          <w:rFonts w:asciiTheme="majorHAnsi" w:hAnsiTheme="majorHAnsi"/>
        </w:rPr>
        <w:t xml:space="preserve"> («Abgeltungen von dritter Seite») bestehen</w:t>
      </w:r>
      <w:r w:rsidRPr="004701C4">
        <w:rPr>
          <w:rFonts w:asciiTheme="majorHAnsi" w:hAnsiTheme="majorHAnsi"/>
        </w:rPr>
        <w:t xml:space="preserve">. </w:t>
      </w:r>
    </w:p>
    <w:p w14:paraId="7F28FA97" w14:textId="47897BF1" w:rsidR="00F10E72" w:rsidRPr="004701C4" w:rsidRDefault="00F10E72" w:rsidP="00484927">
      <w:pPr>
        <w:jc w:val="both"/>
        <w:rPr>
          <w:rFonts w:asciiTheme="majorHAnsi" w:hAnsiTheme="majorHAnsi"/>
        </w:rPr>
      </w:pPr>
      <w:r w:rsidRPr="004701C4">
        <w:rPr>
          <w:rFonts w:asciiTheme="majorHAnsi" w:hAnsiTheme="majorHAnsi"/>
        </w:rPr>
        <w:t xml:space="preserve">Das dem Kunden verrechnete Honorar wird in der Regel sowohl für die diskretionäre Vermögensverwaltung als auch für die Anlageberatung im Portfoliokontext in Prozentpunkten des verwalteten Vermögens berechnet. </w:t>
      </w:r>
    </w:p>
    <w:p w14:paraId="622270A9" w14:textId="77777777" w:rsidR="00F10E72" w:rsidRPr="004701C4" w:rsidRDefault="00F10E72" w:rsidP="00484927">
      <w:pPr>
        <w:jc w:val="both"/>
        <w:rPr>
          <w:rFonts w:asciiTheme="majorHAnsi" w:hAnsiTheme="majorHAnsi"/>
        </w:rPr>
      </w:pPr>
      <w:r w:rsidRPr="004701C4">
        <w:rPr>
          <w:rFonts w:asciiTheme="majorHAnsi" w:hAnsiTheme="majorHAnsi"/>
        </w:rPr>
        <w:t xml:space="preserve">Der individuelle Vermögensverwaltungs- oder Anlageberatungsvertrag mit dem einzelnen Kunden regelt, ob die Abgeltungen von dritter Seite der </w:t>
      </w:r>
      <w:r w:rsidRPr="004701C4">
        <w:rPr>
          <w:rFonts w:asciiTheme="majorHAnsi" w:hAnsiTheme="majorHAnsi"/>
          <w:smallCaps/>
        </w:rPr>
        <w:t>Gesellschaft</w:t>
      </w:r>
      <w:r w:rsidRPr="004701C4">
        <w:rPr>
          <w:rFonts w:asciiTheme="majorHAnsi" w:hAnsiTheme="majorHAnsi"/>
        </w:rPr>
        <w:t xml:space="preserve"> zufallen sollen, oder diese dem Kunden weitergegeben werden sollen. </w:t>
      </w:r>
    </w:p>
    <w:p w14:paraId="5E48DC55" w14:textId="77777777" w:rsidR="00F10E72" w:rsidRPr="004701C4" w:rsidRDefault="00F10E72" w:rsidP="00484927">
      <w:pPr>
        <w:jc w:val="both"/>
        <w:rPr>
          <w:rFonts w:asciiTheme="majorHAnsi" w:hAnsiTheme="majorHAnsi"/>
        </w:rPr>
      </w:pPr>
      <w:r w:rsidRPr="004701C4">
        <w:rPr>
          <w:rFonts w:asciiTheme="majorHAnsi" w:hAnsiTheme="majorHAnsi"/>
        </w:rPr>
        <w:t xml:space="preserve">Die Abgeltungen von dritter Seite können je nach Depotbank des Kunden und der getätigten Anlagen sehr unterschiedlich ausfallen. Auf Wunsch des Kunden empfehlen wir ausschliesslich Depotbanken und Finanzprodukte bzw. tätigen ausschliesslich Anlagen, die keine Abgeltungen von dritter Seite generieren. </w:t>
      </w:r>
    </w:p>
    <w:p w14:paraId="38D6964C" w14:textId="77777777" w:rsidR="00F10E72" w:rsidRPr="004701C4" w:rsidRDefault="00F10E72" w:rsidP="00484927">
      <w:pPr>
        <w:jc w:val="both"/>
        <w:rPr>
          <w:rFonts w:asciiTheme="majorHAnsi" w:hAnsiTheme="majorHAnsi"/>
        </w:rPr>
      </w:pPr>
      <w:r w:rsidRPr="004701C4">
        <w:rPr>
          <w:rFonts w:asciiTheme="majorHAnsi" w:hAnsiTheme="majorHAnsi"/>
        </w:rPr>
        <w:t>Abgeltungen von dritter Seite können wie folgt anfallen:</w:t>
      </w:r>
    </w:p>
    <w:p w14:paraId="1B50AB57" w14:textId="049ED43A" w:rsidR="0048492D" w:rsidRPr="004701C4" w:rsidRDefault="000100CE" w:rsidP="00E7600F">
      <w:pPr>
        <w:tabs>
          <w:tab w:val="left" w:pos="7088"/>
        </w:tabs>
        <w:spacing w:after="0"/>
        <w:jc w:val="both"/>
        <w:rPr>
          <w:rFonts w:asciiTheme="majorHAnsi" w:hAnsiTheme="majorHAnsi"/>
        </w:rPr>
      </w:pPr>
      <w:r w:rsidRPr="004701C4">
        <w:rPr>
          <w:rFonts w:asciiTheme="majorHAnsi" w:hAnsiTheme="majorHAnsi"/>
        </w:rPr>
        <w:t>A</w:t>
      </w:r>
      <w:r w:rsidR="00E7600F" w:rsidRPr="004701C4">
        <w:rPr>
          <w:rFonts w:asciiTheme="majorHAnsi" w:hAnsiTheme="majorHAnsi"/>
        </w:rPr>
        <w:t xml:space="preserve">uf </w:t>
      </w:r>
      <w:r w:rsidR="0048492D" w:rsidRPr="004701C4">
        <w:rPr>
          <w:rFonts w:asciiTheme="majorHAnsi" w:hAnsiTheme="majorHAnsi"/>
        </w:rPr>
        <w:t>Depotgeb</w:t>
      </w:r>
      <w:r w:rsidR="00E152F2" w:rsidRPr="004701C4">
        <w:rPr>
          <w:rFonts w:asciiTheme="majorHAnsi" w:hAnsiTheme="majorHAnsi"/>
        </w:rPr>
        <w:t>ühren</w:t>
      </w:r>
      <w:r w:rsidR="00E7600F" w:rsidRPr="004701C4">
        <w:rPr>
          <w:rFonts w:asciiTheme="majorHAnsi" w:hAnsiTheme="majorHAnsi"/>
        </w:rPr>
        <w:t>, welche dem Kunden durch die Bank belastet werden:</w:t>
      </w:r>
      <w:r w:rsidR="00E152F2" w:rsidRPr="004701C4">
        <w:rPr>
          <w:rFonts w:asciiTheme="majorHAnsi" w:hAnsiTheme="majorHAnsi"/>
        </w:rPr>
        <w:tab/>
        <w:t>0</w:t>
      </w:r>
      <w:r w:rsidR="00E7600F" w:rsidRPr="004701C4">
        <w:rPr>
          <w:rFonts w:asciiTheme="majorHAnsi" w:hAnsiTheme="majorHAnsi"/>
        </w:rPr>
        <w:t>%</w:t>
      </w:r>
      <w:r w:rsidR="002C4D79" w:rsidRPr="004701C4">
        <w:rPr>
          <w:rFonts w:asciiTheme="majorHAnsi" w:hAnsiTheme="majorHAnsi"/>
        </w:rPr>
        <w:t xml:space="preserve"> </w:t>
      </w:r>
      <w:proofErr w:type="gramStart"/>
      <w:r w:rsidR="002C4D79" w:rsidRPr="004701C4">
        <w:rPr>
          <w:rFonts w:asciiTheme="majorHAnsi" w:hAnsiTheme="majorHAnsi"/>
        </w:rPr>
        <w:t>-  25</w:t>
      </w:r>
      <w:proofErr w:type="gramEnd"/>
      <w:r w:rsidR="0048492D" w:rsidRPr="004701C4">
        <w:rPr>
          <w:rFonts w:asciiTheme="majorHAnsi" w:hAnsiTheme="majorHAnsi"/>
        </w:rPr>
        <w:t>%</w:t>
      </w:r>
      <w:r w:rsidR="00E7600F" w:rsidRPr="004701C4">
        <w:rPr>
          <w:rFonts w:asciiTheme="majorHAnsi" w:hAnsiTheme="majorHAnsi"/>
        </w:rPr>
        <w:t>;</w:t>
      </w:r>
    </w:p>
    <w:p w14:paraId="00C9F842" w14:textId="77777777" w:rsidR="0048492D" w:rsidRPr="004701C4" w:rsidRDefault="00E7600F" w:rsidP="00E7600F">
      <w:pPr>
        <w:tabs>
          <w:tab w:val="left" w:pos="7088"/>
        </w:tabs>
        <w:spacing w:after="0"/>
        <w:jc w:val="both"/>
        <w:rPr>
          <w:rFonts w:asciiTheme="majorHAnsi" w:hAnsiTheme="majorHAnsi"/>
        </w:rPr>
      </w:pPr>
      <w:r w:rsidRPr="004701C4">
        <w:rPr>
          <w:rFonts w:asciiTheme="majorHAnsi" w:hAnsiTheme="majorHAnsi"/>
        </w:rPr>
        <w:t xml:space="preserve">auf </w:t>
      </w:r>
      <w:r w:rsidR="0048492D" w:rsidRPr="004701C4">
        <w:rPr>
          <w:rFonts w:asciiTheme="majorHAnsi" w:hAnsiTheme="majorHAnsi"/>
        </w:rPr>
        <w:t>C</w:t>
      </w:r>
      <w:r w:rsidR="00E152F2" w:rsidRPr="004701C4">
        <w:rPr>
          <w:rFonts w:asciiTheme="majorHAnsi" w:hAnsiTheme="majorHAnsi"/>
        </w:rPr>
        <w:t>ourtagen</w:t>
      </w:r>
      <w:r w:rsidRPr="004701C4">
        <w:rPr>
          <w:rFonts w:asciiTheme="majorHAnsi" w:hAnsiTheme="majorHAnsi"/>
        </w:rPr>
        <w:t>, welche dem Kunden durch die Bank belastet werden</w:t>
      </w:r>
      <w:r w:rsidR="00E152F2" w:rsidRPr="004701C4">
        <w:rPr>
          <w:rFonts w:asciiTheme="majorHAnsi" w:hAnsiTheme="majorHAnsi"/>
        </w:rPr>
        <w:t>:</w:t>
      </w:r>
      <w:r w:rsidR="00E152F2" w:rsidRPr="004701C4">
        <w:rPr>
          <w:rFonts w:asciiTheme="majorHAnsi" w:hAnsiTheme="majorHAnsi"/>
        </w:rPr>
        <w:tab/>
        <w:t>0</w:t>
      </w:r>
      <w:r w:rsidRPr="004701C4">
        <w:rPr>
          <w:rFonts w:asciiTheme="majorHAnsi" w:hAnsiTheme="majorHAnsi"/>
        </w:rPr>
        <w:t>%</w:t>
      </w:r>
      <w:r w:rsidR="00E152F2" w:rsidRPr="004701C4">
        <w:rPr>
          <w:rFonts w:asciiTheme="majorHAnsi" w:hAnsiTheme="majorHAnsi"/>
        </w:rPr>
        <w:t xml:space="preserve"> </w:t>
      </w:r>
      <w:proofErr w:type="gramStart"/>
      <w:r w:rsidR="00ED3693" w:rsidRPr="004701C4">
        <w:rPr>
          <w:rFonts w:asciiTheme="majorHAnsi" w:hAnsiTheme="majorHAnsi"/>
        </w:rPr>
        <w:t xml:space="preserve">- </w:t>
      </w:r>
      <w:r w:rsidR="00E152F2" w:rsidRPr="004701C4">
        <w:rPr>
          <w:rFonts w:asciiTheme="majorHAnsi" w:hAnsiTheme="majorHAnsi"/>
        </w:rPr>
        <w:t xml:space="preserve"> 50</w:t>
      </w:r>
      <w:proofErr w:type="gramEnd"/>
      <w:r w:rsidR="00E152F2" w:rsidRPr="004701C4">
        <w:rPr>
          <w:rFonts w:asciiTheme="majorHAnsi" w:hAnsiTheme="majorHAnsi"/>
        </w:rPr>
        <w:t>%</w:t>
      </w:r>
      <w:r w:rsidRPr="004701C4">
        <w:rPr>
          <w:rFonts w:asciiTheme="majorHAnsi" w:hAnsiTheme="majorHAnsi"/>
        </w:rPr>
        <w:t>.</w:t>
      </w:r>
    </w:p>
    <w:p w14:paraId="5F45B2AC" w14:textId="1E9EA9CE" w:rsidR="0028336C" w:rsidRPr="004701C4" w:rsidRDefault="0028336C" w:rsidP="00075594">
      <w:pPr>
        <w:spacing w:after="0"/>
        <w:rPr>
          <w:rFonts w:asciiTheme="majorHAnsi" w:hAnsiTheme="majorHAnsi"/>
        </w:rPr>
      </w:pPr>
      <w:r w:rsidRPr="004701C4">
        <w:rPr>
          <w:rFonts w:asciiTheme="majorHAnsi" w:hAnsiTheme="majorHAnsi"/>
        </w:rPr>
        <w:t>v</w:t>
      </w:r>
      <w:r w:rsidR="0048492D" w:rsidRPr="004701C4">
        <w:rPr>
          <w:rFonts w:asciiTheme="majorHAnsi" w:hAnsiTheme="majorHAnsi"/>
        </w:rPr>
        <w:t xml:space="preserve">on Fondsleitungen </w:t>
      </w:r>
      <w:r w:rsidR="00E7600F" w:rsidRPr="004701C4">
        <w:rPr>
          <w:rFonts w:asciiTheme="majorHAnsi" w:hAnsiTheme="majorHAnsi"/>
        </w:rPr>
        <w:t xml:space="preserve">erhält die </w:t>
      </w:r>
      <w:r w:rsidR="000B7C05" w:rsidRPr="004701C4">
        <w:rPr>
          <w:rFonts w:asciiTheme="majorHAnsi" w:hAnsiTheme="majorHAnsi"/>
          <w:smallCaps/>
        </w:rPr>
        <w:t>Gesellschaft</w:t>
      </w:r>
      <w:r w:rsidR="0048492D" w:rsidRPr="004701C4">
        <w:rPr>
          <w:rFonts w:asciiTheme="majorHAnsi" w:hAnsiTheme="majorHAnsi"/>
        </w:rPr>
        <w:t xml:space="preserve"> </w:t>
      </w:r>
      <w:r w:rsidR="00E7600F" w:rsidRPr="004701C4">
        <w:rPr>
          <w:rFonts w:asciiTheme="majorHAnsi" w:hAnsiTheme="majorHAnsi"/>
        </w:rPr>
        <w:t xml:space="preserve">u.U. </w:t>
      </w:r>
      <w:r w:rsidR="0048492D" w:rsidRPr="004701C4">
        <w:rPr>
          <w:rFonts w:asciiTheme="majorHAnsi" w:hAnsiTheme="majorHAnsi"/>
        </w:rPr>
        <w:t xml:space="preserve">eine Abgeltung </w:t>
      </w:r>
      <w:r w:rsidR="00E7600F" w:rsidRPr="004701C4">
        <w:rPr>
          <w:rFonts w:asciiTheme="majorHAnsi" w:hAnsiTheme="majorHAnsi"/>
        </w:rPr>
        <w:t xml:space="preserve">zwischen </w:t>
      </w:r>
      <w:r w:rsidR="00275852" w:rsidRPr="004701C4">
        <w:rPr>
          <w:rFonts w:asciiTheme="majorHAnsi" w:hAnsiTheme="majorHAnsi"/>
        </w:rPr>
        <w:tab/>
      </w:r>
      <w:r w:rsidR="0048492D" w:rsidRPr="004701C4">
        <w:rPr>
          <w:rFonts w:asciiTheme="majorHAnsi" w:hAnsiTheme="majorHAnsi"/>
        </w:rPr>
        <w:t xml:space="preserve">0% </w:t>
      </w:r>
      <w:r w:rsidR="00E7600F" w:rsidRPr="004701C4">
        <w:rPr>
          <w:rFonts w:asciiTheme="majorHAnsi" w:hAnsiTheme="majorHAnsi"/>
        </w:rPr>
        <w:t xml:space="preserve">- </w:t>
      </w:r>
      <w:r w:rsidR="0048492D" w:rsidRPr="004701C4">
        <w:rPr>
          <w:rFonts w:asciiTheme="majorHAnsi" w:hAnsiTheme="majorHAnsi"/>
        </w:rPr>
        <w:t>0.</w:t>
      </w:r>
      <w:r w:rsidR="002C4D79" w:rsidRPr="004701C4">
        <w:rPr>
          <w:rFonts w:asciiTheme="majorHAnsi" w:hAnsiTheme="majorHAnsi"/>
        </w:rPr>
        <w:t>5</w:t>
      </w:r>
      <w:r w:rsidR="0048492D" w:rsidRPr="004701C4">
        <w:rPr>
          <w:rFonts w:asciiTheme="majorHAnsi" w:hAnsiTheme="majorHAnsi"/>
        </w:rPr>
        <w:t>%</w:t>
      </w:r>
      <w:r w:rsidR="00F10E72" w:rsidRPr="004701C4">
        <w:rPr>
          <w:rFonts w:asciiTheme="majorHAnsi" w:hAnsiTheme="majorHAnsi"/>
        </w:rPr>
        <w:br/>
        <w:t xml:space="preserve">des angelegten Vermögens. </w:t>
      </w:r>
    </w:p>
    <w:p w14:paraId="4773C7B7" w14:textId="20A34D3B" w:rsidR="00274D82" w:rsidRPr="004701C4" w:rsidRDefault="000100CE" w:rsidP="00160155">
      <w:pPr>
        <w:spacing w:before="240" w:after="0"/>
        <w:jc w:val="both"/>
        <w:rPr>
          <w:rFonts w:asciiTheme="majorHAnsi" w:hAnsiTheme="majorHAnsi"/>
        </w:rPr>
      </w:pPr>
      <w:r w:rsidRPr="004701C4">
        <w:rPr>
          <w:rFonts w:asciiTheme="majorHAnsi" w:hAnsiTheme="majorHAnsi"/>
        </w:rPr>
        <w:t xml:space="preserve">Wenn Anteile an kollektiven Kapitalanlagen für den Kunden gezeichnet werden, können aus Aufschlägen auf den Ausgabebetrag bis 3% des Anlagevolumens an die </w:t>
      </w:r>
      <w:r w:rsidRPr="004701C4">
        <w:rPr>
          <w:rFonts w:asciiTheme="majorHAnsi" w:hAnsiTheme="majorHAnsi"/>
          <w:smallCaps/>
        </w:rPr>
        <w:t>Gesellschaft</w:t>
      </w:r>
      <w:r w:rsidRPr="004701C4">
        <w:rPr>
          <w:rFonts w:asciiTheme="majorHAnsi" w:hAnsiTheme="majorHAnsi"/>
        </w:rPr>
        <w:t xml:space="preserve"> rückerstattet werden</w:t>
      </w:r>
      <w:r w:rsidR="00274D82" w:rsidRPr="004701C4">
        <w:rPr>
          <w:rFonts w:asciiTheme="majorHAnsi" w:hAnsiTheme="majorHAnsi"/>
        </w:rPr>
        <w:t>.</w:t>
      </w:r>
      <w:r w:rsidRPr="004701C4">
        <w:rPr>
          <w:rFonts w:asciiTheme="majorHAnsi" w:hAnsiTheme="majorHAnsi"/>
        </w:rPr>
        <w:t xml:space="preserve"> </w:t>
      </w:r>
    </w:p>
    <w:p w14:paraId="3FC18DCC" w14:textId="77777777" w:rsidR="00F10E72" w:rsidRPr="004701C4" w:rsidRDefault="000100CE" w:rsidP="00EF58E8">
      <w:pPr>
        <w:spacing w:after="0"/>
        <w:jc w:val="both"/>
        <w:rPr>
          <w:rFonts w:asciiTheme="majorHAnsi" w:hAnsiTheme="majorHAnsi"/>
        </w:rPr>
      </w:pPr>
      <w:r w:rsidRPr="004701C4">
        <w:rPr>
          <w:rFonts w:asciiTheme="majorHAnsi" w:hAnsiTheme="majorHAnsi"/>
        </w:rPr>
        <w:t>Bei Anlagen in Zertifikaten und strukturierten Anleihen können bis zu 3% des Anlagevolumens als Platzierungsgebühr anfallen.</w:t>
      </w:r>
    </w:p>
    <w:p w14:paraId="7F69AE89" w14:textId="77777777" w:rsidR="000100CE" w:rsidRPr="004701C4" w:rsidRDefault="000100CE" w:rsidP="00EF58E8">
      <w:pPr>
        <w:spacing w:after="0"/>
        <w:jc w:val="both"/>
        <w:rPr>
          <w:rFonts w:asciiTheme="majorHAnsi" w:hAnsiTheme="majorHAnsi"/>
        </w:rPr>
      </w:pPr>
      <w:r w:rsidRPr="004701C4">
        <w:rPr>
          <w:rFonts w:asciiTheme="majorHAnsi" w:hAnsiTheme="majorHAnsi"/>
        </w:rPr>
        <w:t xml:space="preserve">Auf Devisentransaktionen können Banken bis zu 50% ihrer von Währung und Volumen abhängigen Handelsmarge an die </w:t>
      </w:r>
      <w:r w:rsidRPr="004701C4">
        <w:rPr>
          <w:rFonts w:asciiTheme="majorHAnsi" w:hAnsiTheme="majorHAnsi"/>
          <w:smallCaps/>
        </w:rPr>
        <w:t>Gesellschaft</w:t>
      </w:r>
      <w:r w:rsidRPr="004701C4">
        <w:rPr>
          <w:rFonts w:asciiTheme="majorHAnsi" w:hAnsiTheme="majorHAnsi"/>
        </w:rPr>
        <w:t xml:space="preserve"> vergüten. </w:t>
      </w:r>
    </w:p>
    <w:p w14:paraId="521068D2" w14:textId="0A0A8C12" w:rsidR="00EF58E8" w:rsidRPr="004701C4" w:rsidRDefault="000100CE" w:rsidP="00EF58E8">
      <w:pPr>
        <w:spacing w:after="0"/>
        <w:jc w:val="both"/>
        <w:rPr>
          <w:rFonts w:asciiTheme="majorHAnsi" w:hAnsiTheme="majorHAnsi"/>
        </w:rPr>
      </w:pPr>
      <w:r w:rsidRPr="004701C4">
        <w:rPr>
          <w:rFonts w:asciiTheme="majorHAnsi" w:hAnsiTheme="majorHAnsi"/>
        </w:rPr>
        <w:t xml:space="preserve">Tätigt ein Kunde Anlagen auf Kredit, so vergüten die kreditgebenden Institute bis zu 25% des dem Kunden belasteten Kreditzinses an die </w:t>
      </w:r>
      <w:r w:rsidRPr="004701C4">
        <w:rPr>
          <w:rFonts w:asciiTheme="majorHAnsi" w:hAnsiTheme="majorHAnsi"/>
          <w:smallCaps/>
        </w:rPr>
        <w:t>Gesellschaft.</w:t>
      </w:r>
    </w:p>
    <w:p w14:paraId="5A92260A" w14:textId="77777777" w:rsidR="00EF58E8" w:rsidRPr="004701C4" w:rsidRDefault="000100CE" w:rsidP="00075594">
      <w:pPr>
        <w:spacing w:before="240" w:after="0"/>
        <w:jc w:val="both"/>
        <w:rPr>
          <w:rFonts w:asciiTheme="majorHAnsi" w:hAnsiTheme="majorHAnsi"/>
        </w:rPr>
      </w:pPr>
      <w:r w:rsidRPr="004701C4">
        <w:rPr>
          <w:rFonts w:asciiTheme="majorHAnsi" w:hAnsiTheme="majorHAnsi"/>
        </w:rPr>
        <w:t>Gesamthaft können solche A</w:t>
      </w:r>
      <w:r w:rsidR="00A86E95" w:rsidRPr="004701C4">
        <w:rPr>
          <w:rFonts w:asciiTheme="majorHAnsi" w:hAnsiTheme="majorHAnsi"/>
        </w:rPr>
        <w:t xml:space="preserve">bgeltungen bis zu 2% </w:t>
      </w:r>
      <w:r w:rsidR="00274D82" w:rsidRPr="004701C4">
        <w:rPr>
          <w:rFonts w:asciiTheme="majorHAnsi" w:hAnsiTheme="majorHAnsi"/>
        </w:rPr>
        <w:t xml:space="preserve">pro Jahr </w:t>
      </w:r>
      <w:r w:rsidR="00A86E95" w:rsidRPr="004701C4">
        <w:rPr>
          <w:rFonts w:asciiTheme="majorHAnsi" w:hAnsiTheme="majorHAnsi"/>
        </w:rPr>
        <w:t xml:space="preserve">des von der </w:t>
      </w:r>
      <w:r w:rsidR="00A86E95" w:rsidRPr="004701C4">
        <w:rPr>
          <w:rFonts w:asciiTheme="majorHAnsi" w:hAnsiTheme="majorHAnsi"/>
          <w:smallCaps/>
        </w:rPr>
        <w:t>Gesellschaft</w:t>
      </w:r>
      <w:r w:rsidR="00A86E95" w:rsidRPr="004701C4">
        <w:rPr>
          <w:rFonts w:asciiTheme="majorHAnsi" w:hAnsiTheme="majorHAnsi"/>
        </w:rPr>
        <w:t xml:space="preserve"> betreuten Kundenvermögens betragen.  </w:t>
      </w:r>
    </w:p>
    <w:p w14:paraId="33CA4119" w14:textId="77777777" w:rsidR="000100CE" w:rsidRPr="004701C4" w:rsidRDefault="000100CE" w:rsidP="00EF58E8">
      <w:pPr>
        <w:spacing w:after="0"/>
        <w:jc w:val="both"/>
        <w:rPr>
          <w:rFonts w:asciiTheme="majorHAnsi" w:hAnsiTheme="majorHAnsi"/>
        </w:rPr>
      </w:pPr>
    </w:p>
    <w:p w14:paraId="71303266" w14:textId="584DC68C" w:rsidR="0048492D" w:rsidRPr="004701C4" w:rsidRDefault="0048492D" w:rsidP="00EF58E8">
      <w:pPr>
        <w:jc w:val="both"/>
        <w:rPr>
          <w:rFonts w:asciiTheme="majorHAnsi" w:hAnsiTheme="majorHAnsi"/>
        </w:rPr>
      </w:pPr>
      <w:r w:rsidRPr="004701C4">
        <w:rPr>
          <w:rFonts w:asciiTheme="majorHAnsi" w:hAnsiTheme="majorHAnsi"/>
        </w:rPr>
        <w:lastRenderedPageBreak/>
        <w:t xml:space="preserve">Mit diesen </w:t>
      </w:r>
      <w:r w:rsidR="00A86E95" w:rsidRPr="004701C4">
        <w:rPr>
          <w:rFonts w:asciiTheme="majorHAnsi" w:hAnsiTheme="majorHAnsi"/>
        </w:rPr>
        <w:t xml:space="preserve">Abgeltungen </w:t>
      </w:r>
      <w:r w:rsidRPr="004701C4">
        <w:rPr>
          <w:rFonts w:asciiTheme="majorHAnsi" w:hAnsiTheme="majorHAnsi"/>
        </w:rPr>
        <w:t xml:space="preserve">werden einerseits die Dienstleistungen der </w:t>
      </w:r>
      <w:r w:rsidR="000B7C05" w:rsidRPr="004701C4">
        <w:rPr>
          <w:rFonts w:asciiTheme="majorHAnsi" w:hAnsiTheme="majorHAnsi"/>
          <w:smallCaps/>
        </w:rPr>
        <w:t>Gesellschaft</w:t>
      </w:r>
      <w:r w:rsidRPr="004701C4">
        <w:rPr>
          <w:rFonts w:asciiTheme="majorHAnsi" w:hAnsiTheme="majorHAnsi"/>
        </w:rPr>
        <w:t xml:space="preserve"> gegenüber Banken, Fonds</w:t>
      </w:r>
      <w:r w:rsidR="00F524E6" w:rsidRPr="004701C4">
        <w:rPr>
          <w:rFonts w:asciiTheme="majorHAnsi" w:hAnsiTheme="majorHAnsi"/>
        </w:rPr>
        <w:t>-</w:t>
      </w:r>
      <w:r w:rsidR="000B7C05" w:rsidRPr="004701C4">
        <w:rPr>
          <w:rFonts w:asciiTheme="majorHAnsi" w:hAnsiTheme="majorHAnsi"/>
        </w:rPr>
        <w:t>Gesellschaft</w:t>
      </w:r>
      <w:r w:rsidRPr="004701C4">
        <w:rPr>
          <w:rFonts w:asciiTheme="majorHAnsi" w:hAnsiTheme="majorHAnsi"/>
        </w:rPr>
        <w:t xml:space="preserve">en und Emittenten, insbesondere im regulatorischen Bereich, abgegolten. Anderseits </w:t>
      </w:r>
      <w:r w:rsidR="00E7600F" w:rsidRPr="004701C4">
        <w:rPr>
          <w:rFonts w:asciiTheme="majorHAnsi" w:hAnsiTheme="majorHAnsi"/>
        </w:rPr>
        <w:t>werden</w:t>
      </w:r>
      <w:r w:rsidRPr="004701C4">
        <w:rPr>
          <w:rFonts w:asciiTheme="majorHAnsi" w:hAnsiTheme="majorHAnsi"/>
        </w:rPr>
        <w:t xml:space="preserve"> damit </w:t>
      </w:r>
      <w:r w:rsidR="00FC0107" w:rsidRPr="004701C4">
        <w:rPr>
          <w:rFonts w:asciiTheme="majorHAnsi" w:hAnsiTheme="majorHAnsi"/>
        </w:rPr>
        <w:t>auch Vertriebsleistung</w:t>
      </w:r>
      <w:r w:rsidR="00E7600F" w:rsidRPr="004701C4">
        <w:rPr>
          <w:rFonts w:asciiTheme="majorHAnsi" w:hAnsiTheme="majorHAnsi"/>
        </w:rPr>
        <w:t>en</w:t>
      </w:r>
      <w:r w:rsidR="00FC0107" w:rsidRPr="004701C4">
        <w:rPr>
          <w:rFonts w:asciiTheme="majorHAnsi" w:hAnsiTheme="majorHAnsi"/>
        </w:rPr>
        <w:t xml:space="preserve"> der </w:t>
      </w:r>
      <w:r w:rsidR="000B7C05" w:rsidRPr="004701C4">
        <w:rPr>
          <w:rFonts w:asciiTheme="majorHAnsi" w:hAnsiTheme="majorHAnsi"/>
          <w:smallCaps/>
        </w:rPr>
        <w:t>Gesellschaft</w:t>
      </w:r>
      <w:r w:rsidR="00FC0107" w:rsidRPr="004701C4">
        <w:rPr>
          <w:rFonts w:asciiTheme="majorHAnsi" w:hAnsiTheme="majorHAnsi"/>
        </w:rPr>
        <w:t xml:space="preserve"> abgegolten. Eine Ausscheidung dieser Bereiche erfolgt nicht.</w:t>
      </w:r>
      <w:r w:rsidR="001067B9" w:rsidRPr="004701C4">
        <w:rPr>
          <w:rFonts w:asciiTheme="majorHAnsi" w:hAnsiTheme="majorHAnsi"/>
        </w:rPr>
        <w:t xml:space="preserve"> Banken und Emittenten stellen der </w:t>
      </w:r>
      <w:r w:rsidR="001067B9" w:rsidRPr="004701C4">
        <w:rPr>
          <w:rFonts w:asciiTheme="majorHAnsi" w:hAnsiTheme="majorHAnsi"/>
          <w:smallCaps/>
        </w:rPr>
        <w:t>Gesellschaft</w:t>
      </w:r>
      <w:r w:rsidR="001067B9" w:rsidRPr="004701C4">
        <w:rPr>
          <w:rFonts w:asciiTheme="majorHAnsi" w:hAnsiTheme="majorHAnsi"/>
        </w:rPr>
        <w:t xml:space="preserve"> zudem auch Sach- und Dienstleistungen (insbesondere Finanzanalysen, Zugang zu Finanzinformationssystemen, gelegentliche Bewirtung) unentgeltlich zur Verfügung. Diese Leistungen fallen ausschliesslich der </w:t>
      </w:r>
      <w:r w:rsidR="001067B9" w:rsidRPr="004701C4">
        <w:rPr>
          <w:rFonts w:asciiTheme="majorHAnsi" w:hAnsiTheme="majorHAnsi"/>
          <w:smallCaps/>
        </w:rPr>
        <w:t>Gesellschaft</w:t>
      </w:r>
      <w:r w:rsidR="001067B9" w:rsidRPr="004701C4">
        <w:rPr>
          <w:rFonts w:asciiTheme="majorHAnsi" w:hAnsiTheme="majorHAnsi"/>
        </w:rPr>
        <w:t xml:space="preserve"> zu. Kunden der </w:t>
      </w:r>
      <w:r w:rsidR="001067B9" w:rsidRPr="004701C4">
        <w:rPr>
          <w:rFonts w:asciiTheme="majorHAnsi" w:hAnsiTheme="majorHAnsi"/>
          <w:smallCaps/>
        </w:rPr>
        <w:t>Gesellschaft</w:t>
      </w:r>
      <w:r w:rsidR="001067B9" w:rsidRPr="004701C4">
        <w:rPr>
          <w:rFonts w:asciiTheme="majorHAnsi" w:hAnsiTheme="majorHAnsi"/>
        </w:rPr>
        <w:t xml:space="preserve"> können daraus keinen Rabatt auf vereinbarte Honorare und andere Leistungen ableiten.</w:t>
      </w:r>
    </w:p>
    <w:p w14:paraId="610A567C" w14:textId="507F6178" w:rsidR="00274D82" w:rsidRPr="004701C4" w:rsidRDefault="00274D82" w:rsidP="00EF58E8">
      <w:pPr>
        <w:jc w:val="both"/>
        <w:rPr>
          <w:rFonts w:asciiTheme="majorHAnsi" w:hAnsiTheme="majorHAnsi"/>
        </w:rPr>
      </w:pPr>
      <w:r w:rsidRPr="004701C4">
        <w:rPr>
          <w:rFonts w:asciiTheme="majorHAnsi" w:hAnsiTheme="majorHAnsi"/>
        </w:rPr>
        <w:t xml:space="preserve">Kann die </w:t>
      </w:r>
      <w:r w:rsidRPr="004701C4">
        <w:rPr>
          <w:rFonts w:asciiTheme="majorHAnsi" w:hAnsiTheme="majorHAnsi"/>
          <w:smallCaps/>
        </w:rPr>
        <w:t>Gesellschaft</w:t>
      </w:r>
      <w:r w:rsidR="00275852" w:rsidRPr="004701C4">
        <w:rPr>
          <w:rFonts w:asciiTheme="majorHAnsi" w:hAnsiTheme="majorHAnsi"/>
        </w:rPr>
        <w:t xml:space="preserve"> </w:t>
      </w:r>
      <w:r w:rsidRPr="004701C4">
        <w:rPr>
          <w:rFonts w:asciiTheme="majorHAnsi" w:hAnsiTheme="majorHAnsi"/>
        </w:rPr>
        <w:t xml:space="preserve">gestützt auf einen Vermögensverwaltungsauftrag Anlageentscheide </w:t>
      </w:r>
      <w:r w:rsidR="00275852" w:rsidRPr="004701C4">
        <w:rPr>
          <w:rFonts w:asciiTheme="majorHAnsi" w:hAnsiTheme="majorHAnsi"/>
        </w:rPr>
        <w:t xml:space="preserve">nicht </w:t>
      </w:r>
      <w:r w:rsidRPr="004701C4">
        <w:rPr>
          <w:rFonts w:asciiTheme="majorHAnsi" w:hAnsiTheme="majorHAnsi"/>
        </w:rPr>
        <w:t xml:space="preserve">selbst fällen, gibt sie auf Verlangen des Kunden persönliche Empfehlungen zu Finanzinstrumenten ab. Dabei gibt sie den Kunden von den Emittenten oder auf deren Veranlassung allenfalls erstellte Basisinformationsblätter ab, und informiert über die mit dem empfohlenen Finanzinstrument verbunden Risiken und Kosten (einschliesslich der eigenen Vergütung).  </w:t>
      </w:r>
    </w:p>
    <w:p w14:paraId="1CC2CF8D" w14:textId="77777777" w:rsidR="00274D82" w:rsidRPr="004701C4" w:rsidRDefault="00274D82" w:rsidP="00075594">
      <w:pPr>
        <w:pStyle w:val="berschrift2"/>
        <w:ind w:left="567"/>
      </w:pPr>
      <w:bookmarkStart w:id="12" w:name="_Toc74047619"/>
      <w:r w:rsidRPr="004701C4">
        <w:t>Bestmögliche Ausführung von Kundenaufträgen</w:t>
      </w:r>
      <w:bookmarkEnd w:id="12"/>
    </w:p>
    <w:p w14:paraId="78A127EA" w14:textId="761C8EE7" w:rsidR="00274D82" w:rsidRPr="004701C4" w:rsidRDefault="00274D82" w:rsidP="00274D82">
      <w:pPr>
        <w:jc w:val="both"/>
        <w:rPr>
          <w:rFonts w:asciiTheme="majorHAnsi" w:hAnsiTheme="majorHAnsi"/>
        </w:rPr>
      </w:pPr>
      <w:r w:rsidRPr="004701C4">
        <w:rPr>
          <w:rFonts w:asciiTheme="majorHAnsi" w:hAnsiTheme="majorHAnsi"/>
        </w:rPr>
        <w:t xml:space="preserve">Die </w:t>
      </w:r>
      <w:r w:rsidRPr="004701C4">
        <w:rPr>
          <w:rFonts w:asciiTheme="majorHAnsi" w:hAnsiTheme="majorHAnsi"/>
          <w:smallCaps/>
        </w:rPr>
        <w:t>Gesellschaft</w:t>
      </w:r>
      <w:r w:rsidRPr="004701C4">
        <w:rPr>
          <w:rFonts w:asciiTheme="majorHAnsi" w:hAnsiTheme="majorHAnsi"/>
        </w:rPr>
        <w:t xml:space="preserve"> führt Aufträge von und für Kunden im Rahmen der Vermögensverwaltung und Vertretung von Kunden ausschliesslich über die jeweilige Depotbank des Kunden aus. Auf der Grundlage, dass wir die Anlagetätigkeit für Kunden ausschliesslich auf der Grundlage von auf Verwaltungshandlungen beschränkten Vollmachten ausüben, gewährleistet dies bei den von uns empfohlenen Depotbanken in preislicher Hinsicht die nach unserer Auffassung bestmögliche Ausführung. Die von der </w:t>
      </w:r>
      <w:r w:rsidRPr="004701C4">
        <w:rPr>
          <w:rFonts w:asciiTheme="majorHAnsi" w:hAnsiTheme="majorHAnsi"/>
          <w:smallCaps/>
        </w:rPr>
        <w:t>Gesellschaft</w:t>
      </w:r>
      <w:r w:rsidRPr="004701C4">
        <w:rPr>
          <w:rFonts w:asciiTheme="majorHAnsi" w:hAnsiTheme="majorHAnsi"/>
        </w:rPr>
        <w:t xml:space="preserve"> empfohlenen Gesellschaften bieten bei normalen Marktbedingungen auch die beste Gewähr für die Wahrscheinlichkeit, Schnelligkeit und Sicherheit der Ausführung zu den bestmöglichen Konditionen. </w:t>
      </w:r>
    </w:p>
    <w:p w14:paraId="59853816" w14:textId="77777777" w:rsidR="00274D82" w:rsidRPr="004701C4" w:rsidRDefault="00274D82" w:rsidP="00274D82">
      <w:pPr>
        <w:jc w:val="both"/>
        <w:rPr>
          <w:rFonts w:asciiTheme="majorHAnsi" w:hAnsiTheme="majorHAnsi"/>
        </w:rPr>
      </w:pPr>
      <w:r w:rsidRPr="004701C4">
        <w:rPr>
          <w:rFonts w:asciiTheme="majorHAnsi" w:hAnsiTheme="majorHAnsi"/>
        </w:rPr>
        <w:t xml:space="preserve">Wenn die </w:t>
      </w:r>
      <w:r w:rsidRPr="004701C4">
        <w:rPr>
          <w:rFonts w:asciiTheme="majorHAnsi" w:hAnsiTheme="majorHAnsi"/>
          <w:smallCaps/>
        </w:rPr>
        <w:t>Gesellschaft</w:t>
      </w:r>
      <w:r w:rsidRPr="004701C4">
        <w:rPr>
          <w:rFonts w:asciiTheme="majorHAnsi" w:hAnsiTheme="majorHAnsi"/>
        </w:rPr>
        <w:t xml:space="preserve"> für mehrere Kunden und bei mehreren Depotbanken Aufträge für Kunden erteilt, so kann keine Gewähr dafür geboten werden, dass die Aufträge für alle Kunden zu den gleichen Konditionen ausgeführt werden können. </w:t>
      </w:r>
    </w:p>
    <w:p w14:paraId="66C59C66" w14:textId="77777777" w:rsidR="00274D82" w:rsidRPr="004701C4" w:rsidRDefault="00274D82" w:rsidP="00274D82">
      <w:pPr>
        <w:jc w:val="both"/>
        <w:rPr>
          <w:rFonts w:asciiTheme="majorHAnsi" w:hAnsiTheme="majorHAnsi"/>
        </w:rPr>
      </w:pPr>
      <w:r w:rsidRPr="004701C4">
        <w:rPr>
          <w:rFonts w:asciiTheme="majorHAnsi" w:hAnsiTheme="majorHAnsi"/>
        </w:rPr>
        <w:t xml:space="preserve">In Einzelfällen, zeichnet die </w:t>
      </w:r>
      <w:r w:rsidRPr="004701C4">
        <w:rPr>
          <w:rFonts w:asciiTheme="majorHAnsi" w:hAnsiTheme="majorHAnsi"/>
          <w:smallCaps/>
        </w:rPr>
        <w:t>Gesellschaft</w:t>
      </w:r>
      <w:r w:rsidRPr="004701C4">
        <w:rPr>
          <w:rFonts w:asciiTheme="majorHAnsi" w:hAnsiTheme="majorHAnsi"/>
        </w:rPr>
        <w:t xml:space="preserve"> Finanzinstrumente bei den Emittenten direkt. Dies namentlich dann, wenn dadurch Ausgabeaufschläge vermieden werden können.  </w:t>
      </w:r>
    </w:p>
    <w:p w14:paraId="460DF149" w14:textId="77777777" w:rsidR="00274D82" w:rsidRPr="004701C4" w:rsidRDefault="00274D82" w:rsidP="00075594">
      <w:pPr>
        <w:pStyle w:val="berschrift2"/>
        <w:ind w:left="567"/>
      </w:pPr>
      <w:bookmarkStart w:id="13" w:name="_Toc74047620"/>
      <w:r w:rsidRPr="004701C4">
        <w:t>Ausübung von Stimmrechten</w:t>
      </w:r>
      <w:bookmarkEnd w:id="13"/>
    </w:p>
    <w:p w14:paraId="1FEE5D81" w14:textId="77777777" w:rsidR="00274D82" w:rsidRPr="004701C4" w:rsidRDefault="00274D82" w:rsidP="00274D82">
      <w:pPr>
        <w:jc w:val="both"/>
        <w:rPr>
          <w:rFonts w:asciiTheme="majorHAnsi" w:hAnsiTheme="majorHAnsi"/>
        </w:rPr>
      </w:pPr>
      <w:r w:rsidRPr="004701C4">
        <w:rPr>
          <w:rFonts w:asciiTheme="majorHAnsi" w:hAnsiTheme="majorHAnsi"/>
        </w:rPr>
        <w:t xml:space="preserve">Die </w:t>
      </w:r>
      <w:r w:rsidRPr="004701C4">
        <w:rPr>
          <w:rFonts w:asciiTheme="majorHAnsi" w:hAnsiTheme="majorHAnsi"/>
          <w:smallCaps/>
        </w:rPr>
        <w:t>Gesellschaft</w:t>
      </w:r>
      <w:r w:rsidRPr="004701C4">
        <w:rPr>
          <w:rFonts w:asciiTheme="majorHAnsi" w:hAnsiTheme="majorHAnsi"/>
        </w:rPr>
        <w:t xml:space="preserve"> übt die mit Finanzanlagen (</w:t>
      </w:r>
      <w:proofErr w:type="gramStart"/>
      <w:r w:rsidRPr="004701C4">
        <w:rPr>
          <w:rFonts w:asciiTheme="majorHAnsi" w:hAnsiTheme="majorHAnsi"/>
        </w:rPr>
        <w:t>insbesondere Beteiligungspapieren</w:t>
      </w:r>
      <w:proofErr w:type="gramEnd"/>
      <w:r w:rsidRPr="004701C4">
        <w:rPr>
          <w:rFonts w:asciiTheme="majorHAnsi" w:hAnsiTheme="majorHAnsi"/>
        </w:rPr>
        <w:t xml:space="preserve"> wie Aktien) verbundenen Stimmrechte nur aus, wenn sie von ihren Kunden im Einzelfall damit ausdrücklich beauftragt wird. Die </w:t>
      </w:r>
      <w:r w:rsidRPr="004701C4">
        <w:rPr>
          <w:rFonts w:asciiTheme="majorHAnsi" w:hAnsiTheme="majorHAnsi"/>
          <w:smallCaps/>
        </w:rPr>
        <w:t>Gesellschaft</w:t>
      </w:r>
      <w:r w:rsidRPr="004701C4">
        <w:rPr>
          <w:rFonts w:asciiTheme="majorHAnsi" w:hAnsiTheme="majorHAnsi"/>
        </w:rPr>
        <w:t xml:space="preserve"> informiert ihre Kunden nicht unaufgefordert über die Durchführung von Anlässen, an denen die Kunden ihre Stimmrechte ausüben können.    </w:t>
      </w:r>
    </w:p>
    <w:p w14:paraId="6273D381" w14:textId="77777777" w:rsidR="00274D82" w:rsidRPr="004701C4" w:rsidRDefault="00274D82" w:rsidP="00075594">
      <w:pPr>
        <w:pStyle w:val="berschrift2"/>
        <w:ind w:left="567"/>
      </w:pPr>
      <w:bookmarkStart w:id="14" w:name="_Toc74047621"/>
      <w:r w:rsidRPr="004701C4">
        <w:t>Allfällige Meldepflicht bei Beteiligungserwerb</w:t>
      </w:r>
      <w:bookmarkEnd w:id="14"/>
    </w:p>
    <w:p w14:paraId="1085DCE6" w14:textId="77777777" w:rsidR="00274D82" w:rsidRPr="004701C4" w:rsidRDefault="00274D82" w:rsidP="00274D82">
      <w:pPr>
        <w:jc w:val="both"/>
        <w:rPr>
          <w:rFonts w:asciiTheme="majorHAnsi" w:hAnsiTheme="majorHAnsi"/>
        </w:rPr>
      </w:pPr>
      <w:r w:rsidRPr="004701C4">
        <w:rPr>
          <w:rFonts w:asciiTheme="majorHAnsi" w:hAnsiTheme="majorHAnsi"/>
        </w:rPr>
        <w:t xml:space="preserve">Sofern die </w:t>
      </w:r>
      <w:r w:rsidRPr="004701C4">
        <w:rPr>
          <w:rFonts w:asciiTheme="majorHAnsi" w:hAnsiTheme="majorHAnsi"/>
          <w:smallCaps/>
        </w:rPr>
        <w:t>Gesellschaft</w:t>
      </w:r>
      <w:r w:rsidRPr="004701C4">
        <w:rPr>
          <w:rFonts w:asciiTheme="majorHAnsi" w:hAnsiTheme="majorHAnsi"/>
        </w:rPr>
        <w:t xml:space="preserve"> im Rahmen ihrer Vermögensverwaltungstätigkeit über die Gesamtheit, der </w:t>
      </w:r>
      <w:proofErr w:type="gramStart"/>
      <w:r w:rsidRPr="004701C4">
        <w:rPr>
          <w:rFonts w:asciiTheme="majorHAnsi" w:hAnsiTheme="majorHAnsi"/>
        </w:rPr>
        <w:t>von ihr betreuten Kunden</w:t>
      </w:r>
      <w:proofErr w:type="gramEnd"/>
      <w:r w:rsidRPr="004701C4">
        <w:rPr>
          <w:rFonts w:asciiTheme="majorHAnsi" w:hAnsiTheme="majorHAnsi"/>
        </w:rPr>
        <w:t xml:space="preserve"> meldepflichtige Beteiligungen an kotierten Unternehmen erwirbt, so wird sie die gesetzlich vorgeschriebenen Meldungen vornehmen.</w:t>
      </w:r>
    </w:p>
    <w:p w14:paraId="6D62F0B4" w14:textId="77777777" w:rsidR="0048492D" w:rsidRPr="004701C4" w:rsidRDefault="0093307F" w:rsidP="00075594">
      <w:pPr>
        <w:pStyle w:val="berschrift1"/>
      </w:pPr>
      <w:bookmarkStart w:id="15" w:name="_Toc74047622"/>
      <w:r w:rsidRPr="004701C4">
        <w:lastRenderedPageBreak/>
        <w:t>Informationen über Interessenkonflikte</w:t>
      </w:r>
      <w:bookmarkEnd w:id="15"/>
    </w:p>
    <w:p w14:paraId="07B91BA9" w14:textId="033DD3F1" w:rsidR="0093307F" w:rsidRPr="004701C4" w:rsidRDefault="009A13AA" w:rsidP="00484927">
      <w:pPr>
        <w:jc w:val="both"/>
        <w:rPr>
          <w:rFonts w:asciiTheme="majorHAnsi" w:hAnsiTheme="majorHAnsi"/>
        </w:rPr>
      </w:pPr>
      <w:r w:rsidRPr="004701C4">
        <w:rPr>
          <w:rFonts w:asciiTheme="majorHAnsi" w:hAnsiTheme="majorHAnsi"/>
        </w:rPr>
        <w:t xml:space="preserve">In der Vermögensverwaltung und der Anlageberatung lassen sich Interessenkonflikte nicht immer vollständig vermeiden. Die Interessen der Kunden und die Interessen der </w:t>
      </w:r>
      <w:r w:rsidR="000B7C05" w:rsidRPr="004701C4">
        <w:rPr>
          <w:rFonts w:asciiTheme="majorHAnsi" w:hAnsiTheme="majorHAnsi"/>
          <w:smallCaps/>
        </w:rPr>
        <w:t>Gesellschaft</w:t>
      </w:r>
      <w:r w:rsidRPr="004701C4">
        <w:rPr>
          <w:rFonts w:asciiTheme="majorHAnsi" w:hAnsiTheme="majorHAnsi"/>
        </w:rPr>
        <w:t xml:space="preserve">, ihrer Mitarbeiter und Aktionäre können </w:t>
      </w:r>
      <w:r w:rsidR="00F33976" w:rsidRPr="004701C4">
        <w:rPr>
          <w:rFonts w:asciiTheme="majorHAnsi" w:hAnsiTheme="majorHAnsi"/>
        </w:rPr>
        <w:t>einande</w:t>
      </w:r>
      <w:r w:rsidR="0082022E" w:rsidRPr="004701C4">
        <w:rPr>
          <w:rFonts w:asciiTheme="majorHAnsi" w:hAnsiTheme="majorHAnsi"/>
        </w:rPr>
        <w:t>r widersprechen oder gegenläufig sein</w:t>
      </w:r>
      <w:r w:rsidRPr="004701C4">
        <w:rPr>
          <w:rFonts w:asciiTheme="majorHAnsi" w:hAnsiTheme="majorHAnsi"/>
        </w:rPr>
        <w:t xml:space="preserve">. Die </w:t>
      </w:r>
      <w:r w:rsidR="000B7C05" w:rsidRPr="004701C4">
        <w:rPr>
          <w:rFonts w:asciiTheme="majorHAnsi" w:hAnsiTheme="majorHAnsi"/>
          <w:smallCaps/>
        </w:rPr>
        <w:t>Gesellschaft</w:t>
      </w:r>
      <w:r w:rsidRPr="004701C4">
        <w:rPr>
          <w:rFonts w:asciiTheme="majorHAnsi" w:hAnsiTheme="majorHAnsi"/>
        </w:rPr>
        <w:t xml:space="preserve"> legt ihren Kunden deshalb im Zusammenhang mit möglichen Interessenkonflikten Folgendes offen:</w:t>
      </w:r>
    </w:p>
    <w:p w14:paraId="7B2D5D6C" w14:textId="77777777" w:rsidR="00877C2E" w:rsidRPr="004701C4" w:rsidRDefault="002A6126" w:rsidP="00075594">
      <w:pPr>
        <w:pStyle w:val="Listenabsatz"/>
        <w:numPr>
          <w:ilvl w:val="0"/>
          <w:numId w:val="7"/>
        </w:numPr>
        <w:jc w:val="both"/>
        <w:rPr>
          <w:rFonts w:asciiTheme="majorHAnsi" w:hAnsiTheme="majorHAnsi"/>
        </w:rPr>
      </w:pPr>
      <w:r w:rsidRPr="004701C4">
        <w:rPr>
          <w:rFonts w:asciiTheme="majorHAnsi" w:hAnsiTheme="majorHAnsi"/>
        </w:rPr>
        <w:t xml:space="preserve">Sofern und </w:t>
      </w:r>
      <w:proofErr w:type="gramStart"/>
      <w:r w:rsidRPr="004701C4">
        <w:rPr>
          <w:rFonts w:asciiTheme="majorHAnsi" w:hAnsiTheme="majorHAnsi"/>
        </w:rPr>
        <w:t>soweit</w:t>
      </w:r>
      <w:proofErr w:type="gramEnd"/>
      <w:r w:rsidRPr="004701C4">
        <w:rPr>
          <w:rFonts w:asciiTheme="majorHAnsi" w:hAnsiTheme="majorHAnsi"/>
        </w:rPr>
        <w:t xml:space="preserve"> die </w:t>
      </w:r>
      <w:r w:rsidRPr="004701C4">
        <w:rPr>
          <w:rFonts w:asciiTheme="majorHAnsi" w:hAnsiTheme="majorHAnsi"/>
          <w:smallCaps/>
        </w:rPr>
        <w:t>Gesellschaft</w:t>
      </w:r>
      <w:r w:rsidRPr="004701C4">
        <w:rPr>
          <w:rFonts w:asciiTheme="majorHAnsi" w:hAnsiTheme="majorHAnsi"/>
        </w:rPr>
        <w:t xml:space="preserve"> Finanzprodukte, die Kunden empfohlen oder in der Vermögensanlage für Kunden eingesetzt werden, selbst verwaltet</w:t>
      </w:r>
      <w:r w:rsidR="00877C2E" w:rsidRPr="004701C4">
        <w:rPr>
          <w:rFonts w:asciiTheme="majorHAnsi" w:hAnsiTheme="majorHAnsi"/>
        </w:rPr>
        <w:t xml:space="preserve"> (sog. «hauseigene Produkte»)</w:t>
      </w:r>
      <w:r w:rsidRPr="004701C4">
        <w:rPr>
          <w:rFonts w:asciiTheme="majorHAnsi" w:hAnsiTheme="majorHAnsi"/>
        </w:rPr>
        <w:t xml:space="preserve">, erzielt sie selber höhere Einnahmen, als wenn Produkte von Drittanbietern eingesetzt werden. </w:t>
      </w:r>
      <w:r w:rsidR="00877C2E" w:rsidRPr="004701C4">
        <w:rPr>
          <w:rFonts w:asciiTheme="majorHAnsi" w:hAnsiTheme="majorHAnsi"/>
        </w:rPr>
        <w:t>Dies schafft unter Umständen mit den Interessen der Kunden in Konflikt stehende Anreize, hauseigene Produkte auch dann einzusetzen, wenn Finanzprodukte von Drittanbietern den Kundeninteressen besser Rechnung tragen würden.</w:t>
      </w:r>
    </w:p>
    <w:p w14:paraId="1665EFBF" w14:textId="77777777" w:rsidR="002A6126" w:rsidRPr="004701C4" w:rsidRDefault="00877C2E" w:rsidP="00075594">
      <w:pPr>
        <w:pStyle w:val="Listenabsatz"/>
        <w:jc w:val="both"/>
        <w:rPr>
          <w:rFonts w:asciiTheme="majorHAnsi" w:hAnsiTheme="majorHAnsi"/>
        </w:rPr>
      </w:pPr>
      <w:r w:rsidRPr="004701C4">
        <w:rPr>
          <w:rFonts w:asciiTheme="majorHAnsi" w:hAnsiTheme="majorHAnsi"/>
        </w:rPr>
        <w:t xml:space="preserve">Die </w:t>
      </w:r>
      <w:r w:rsidRPr="004701C4">
        <w:rPr>
          <w:rFonts w:asciiTheme="majorHAnsi" w:hAnsiTheme="majorHAnsi"/>
          <w:smallCaps/>
        </w:rPr>
        <w:t>Gesellschaft</w:t>
      </w:r>
      <w:r w:rsidRPr="004701C4">
        <w:rPr>
          <w:rFonts w:asciiTheme="majorHAnsi" w:hAnsiTheme="majorHAnsi"/>
        </w:rPr>
        <w:t xml:space="preserve"> setzt hauseigene Produkte im Rahmen des eingesetzten Anlageuniversums nur ergänzend ein. </w:t>
      </w:r>
      <w:r w:rsidR="00274D82" w:rsidRPr="004701C4">
        <w:rPr>
          <w:rFonts w:asciiTheme="majorHAnsi" w:hAnsiTheme="majorHAnsi"/>
        </w:rPr>
        <w:t xml:space="preserve">Die Kosten der hauseigenen Produkte (Verwaltungs- und Administrationskosten) weichen von denjenigen vergleichbarer Produkte von Drittanbietern nicht ab. </w:t>
      </w:r>
    </w:p>
    <w:p w14:paraId="5FAB416F" w14:textId="77777777" w:rsidR="00274D82" w:rsidRPr="004701C4" w:rsidRDefault="00274D82" w:rsidP="00075594">
      <w:pPr>
        <w:pStyle w:val="Listenabsatz"/>
        <w:jc w:val="both"/>
        <w:rPr>
          <w:rFonts w:asciiTheme="majorHAnsi" w:hAnsiTheme="majorHAnsi"/>
        </w:rPr>
      </w:pPr>
    </w:p>
    <w:p w14:paraId="47FA315D" w14:textId="77777777" w:rsidR="0082022E" w:rsidRPr="004701C4" w:rsidRDefault="0082022E" w:rsidP="00075594">
      <w:pPr>
        <w:pStyle w:val="Listenabsatz"/>
        <w:numPr>
          <w:ilvl w:val="0"/>
          <w:numId w:val="7"/>
        </w:numPr>
        <w:jc w:val="both"/>
        <w:rPr>
          <w:rFonts w:asciiTheme="majorHAnsi" w:hAnsiTheme="majorHAnsi"/>
        </w:rPr>
      </w:pPr>
      <w:r w:rsidRPr="004701C4">
        <w:rPr>
          <w:rFonts w:asciiTheme="majorHAnsi" w:hAnsiTheme="majorHAnsi"/>
        </w:rPr>
        <w:t xml:space="preserve">Abgeltungen von Banken, Fondsleitungen und Emittenten können Anreize schaffen, höhere Umsätze in Effekten zu tätigen oder Produkte auszuwählen, welche höhere Vergütungen auslösen, obwohl diese im Hinblick auf die Kundeninteressen nicht die bestmögliche Wahl darstellen. </w:t>
      </w:r>
    </w:p>
    <w:p w14:paraId="6444A828" w14:textId="2AD59710" w:rsidR="0082022E" w:rsidRPr="004701C4" w:rsidRDefault="0082022E" w:rsidP="00075594">
      <w:pPr>
        <w:pStyle w:val="Listenabsatz"/>
        <w:spacing w:before="240"/>
        <w:jc w:val="both"/>
        <w:rPr>
          <w:rFonts w:asciiTheme="majorHAnsi" w:hAnsiTheme="majorHAnsi"/>
        </w:rPr>
      </w:pPr>
      <w:r w:rsidRPr="004701C4">
        <w:rPr>
          <w:rFonts w:asciiTheme="majorHAnsi" w:hAnsiTheme="majorHAnsi"/>
        </w:rPr>
        <w:t xml:space="preserve">Die möglicherweise unerwünschten Auswirkungen dieser gegenläufigen Interessen können wir mit organisatorischen Massnahmen nicht ganz ausschliessen. </w:t>
      </w:r>
      <w:r w:rsidR="00877C2E" w:rsidRPr="004701C4">
        <w:rPr>
          <w:rFonts w:asciiTheme="majorHAnsi" w:hAnsiTheme="majorHAnsi"/>
        </w:rPr>
        <w:t xml:space="preserve">Dies insbesondere, weil die </w:t>
      </w:r>
      <w:r w:rsidR="00877C2E" w:rsidRPr="004701C4">
        <w:rPr>
          <w:rFonts w:asciiTheme="majorHAnsi" w:hAnsiTheme="majorHAnsi"/>
          <w:smallCaps/>
        </w:rPr>
        <w:t>Gesellschaft</w:t>
      </w:r>
      <w:r w:rsidR="00877C2E" w:rsidRPr="004701C4">
        <w:rPr>
          <w:rFonts w:asciiTheme="majorHAnsi" w:hAnsiTheme="majorHAnsi"/>
        </w:rPr>
        <w:t xml:space="preserve"> durch ihre Inhaber geführt wird. </w:t>
      </w:r>
      <w:r w:rsidRPr="004701C4">
        <w:rPr>
          <w:rFonts w:asciiTheme="majorHAnsi" w:hAnsiTheme="majorHAnsi"/>
        </w:rPr>
        <w:t xml:space="preserve">Den latenten Interessenkonflikt beheben wir damit, dass wir unsere Kunden umfassend aufklären und die Wahl lassen, vertraglich Dienstleister und Produkte, die Abgeltungen von dritter Seite auslösen, auszuschliessen, oder die Weitergabe von Abgeltungen von dritter Seite an den Kunden zu vereinbaren. Die </w:t>
      </w:r>
      <w:r w:rsidRPr="004701C4">
        <w:rPr>
          <w:rFonts w:asciiTheme="majorHAnsi" w:hAnsiTheme="majorHAnsi"/>
          <w:smallCaps/>
        </w:rPr>
        <w:t>Gesellschaft</w:t>
      </w:r>
      <w:r w:rsidRPr="004701C4">
        <w:rPr>
          <w:rFonts w:asciiTheme="majorHAnsi" w:hAnsiTheme="majorHAnsi"/>
        </w:rPr>
        <w:t xml:space="preserve"> macht allerdings ihren Kunden keine Zusicherungen dahing</w:t>
      </w:r>
      <w:r w:rsidR="002A6126" w:rsidRPr="004701C4">
        <w:rPr>
          <w:rFonts w:asciiTheme="majorHAnsi" w:hAnsiTheme="majorHAnsi"/>
        </w:rPr>
        <w:t xml:space="preserve">ehend, dass die Gesamtkosten für die Vermögensanlage so tiefer ausfallen werden. </w:t>
      </w:r>
    </w:p>
    <w:p w14:paraId="38F3EB89" w14:textId="77777777" w:rsidR="002A6126" w:rsidRPr="004701C4" w:rsidRDefault="002A6126" w:rsidP="00075594">
      <w:pPr>
        <w:pStyle w:val="Listenabsatz"/>
        <w:spacing w:before="240"/>
        <w:jc w:val="both"/>
        <w:rPr>
          <w:rFonts w:asciiTheme="majorHAnsi" w:hAnsiTheme="majorHAnsi"/>
        </w:rPr>
      </w:pPr>
    </w:p>
    <w:p w14:paraId="009FBAEB" w14:textId="77777777" w:rsidR="00274D82" w:rsidRPr="004701C4" w:rsidRDefault="00274D82" w:rsidP="00075594">
      <w:pPr>
        <w:pStyle w:val="Listenabsatz"/>
        <w:numPr>
          <w:ilvl w:val="0"/>
          <w:numId w:val="7"/>
        </w:numPr>
        <w:spacing w:before="240"/>
        <w:jc w:val="both"/>
        <w:rPr>
          <w:rFonts w:asciiTheme="majorHAnsi" w:hAnsiTheme="majorHAnsi"/>
        </w:rPr>
      </w:pPr>
      <w:r w:rsidRPr="004701C4">
        <w:rPr>
          <w:rFonts w:asciiTheme="majorHAnsi" w:hAnsiTheme="majorHAnsi"/>
        </w:rPr>
        <w:t xml:space="preserve">Bei der Zeichnung von neu auszugebenden Finanzprodukten (insbesondere bei Erstkotierungen von Aktien) können Zeichnungen für Kunden mit eigenen Zeichnungen der </w:t>
      </w:r>
      <w:r w:rsidRPr="004701C4">
        <w:rPr>
          <w:rFonts w:asciiTheme="majorHAnsi" w:hAnsiTheme="majorHAnsi"/>
          <w:smallCaps/>
        </w:rPr>
        <w:t>Gesellschaft</w:t>
      </w:r>
      <w:r w:rsidRPr="004701C4">
        <w:rPr>
          <w:rFonts w:asciiTheme="majorHAnsi" w:hAnsiTheme="majorHAnsi"/>
        </w:rPr>
        <w:t xml:space="preserve"> und/oder ihrer Mitarbeitenden in Konkurrenz stehen. Bei Überzeichnungen kann dies zu Kürzungen von Zeichnungen der Kunden führen. </w:t>
      </w:r>
    </w:p>
    <w:p w14:paraId="0AD27C2D" w14:textId="27491258" w:rsidR="00274D82" w:rsidRPr="004701C4" w:rsidRDefault="00274D82" w:rsidP="00075594">
      <w:pPr>
        <w:pStyle w:val="Listenabsatz"/>
        <w:spacing w:before="240"/>
        <w:jc w:val="both"/>
        <w:rPr>
          <w:rFonts w:asciiTheme="majorHAnsi" w:hAnsiTheme="majorHAnsi"/>
        </w:rPr>
      </w:pPr>
      <w:r w:rsidRPr="004701C4">
        <w:rPr>
          <w:rFonts w:asciiTheme="majorHAnsi" w:hAnsiTheme="majorHAnsi"/>
        </w:rPr>
        <w:t xml:space="preserve">Solche Fälle dürften angesichts des bewirtschafteten Anlageuniversums der </w:t>
      </w:r>
      <w:r w:rsidRPr="004701C4">
        <w:rPr>
          <w:rFonts w:asciiTheme="majorHAnsi" w:hAnsiTheme="majorHAnsi"/>
          <w:smallCaps/>
        </w:rPr>
        <w:t>Gesellschaft,</w:t>
      </w:r>
      <w:r w:rsidRPr="004701C4">
        <w:rPr>
          <w:rFonts w:asciiTheme="majorHAnsi" w:hAnsiTheme="majorHAnsi"/>
        </w:rPr>
        <w:t xml:space="preserve"> wenn überhaupt, nur ganz selten vorkommen. Die von </w:t>
      </w:r>
      <w:r w:rsidR="00F33976" w:rsidRPr="004701C4">
        <w:rPr>
          <w:rFonts w:asciiTheme="majorHAnsi" w:hAnsiTheme="majorHAnsi"/>
        </w:rPr>
        <w:t>der G</w:t>
      </w:r>
      <w:r w:rsidRPr="004701C4">
        <w:rPr>
          <w:rFonts w:asciiTheme="majorHAnsi" w:hAnsiTheme="majorHAnsi"/>
          <w:smallCaps/>
        </w:rPr>
        <w:t>esellschaft</w:t>
      </w:r>
      <w:r w:rsidRPr="004701C4">
        <w:rPr>
          <w:rFonts w:asciiTheme="majorHAnsi" w:hAnsiTheme="majorHAnsi"/>
        </w:rPr>
        <w:t xml:space="preserve"> eingesetzten Anlagestrategien sehen Zeichnungen von Aktien bei Erstkotierungen nicht vor. Wünschen Kunden, dass die </w:t>
      </w:r>
      <w:r w:rsidRPr="004701C4">
        <w:rPr>
          <w:rFonts w:asciiTheme="majorHAnsi" w:hAnsiTheme="majorHAnsi"/>
          <w:smallCaps/>
        </w:rPr>
        <w:t>Gesellschaft</w:t>
      </w:r>
      <w:r w:rsidRPr="004701C4">
        <w:rPr>
          <w:rFonts w:asciiTheme="majorHAnsi" w:hAnsiTheme="majorHAnsi"/>
        </w:rPr>
        <w:t xml:space="preserve"> für ihre Rechnung zeichne</w:t>
      </w:r>
      <w:r w:rsidR="00E71372" w:rsidRPr="004701C4">
        <w:rPr>
          <w:rFonts w:asciiTheme="majorHAnsi" w:hAnsiTheme="majorHAnsi"/>
        </w:rPr>
        <w:t>t</w:t>
      </w:r>
      <w:r w:rsidRPr="004701C4">
        <w:rPr>
          <w:rFonts w:asciiTheme="majorHAnsi" w:hAnsiTheme="majorHAnsi"/>
        </w:rPr>
        <w:t xml:space="preserve">, so legen wir offen, ob und in welchem Umfang die Gesellschaft und ihre mit Anlagetätigkeiten befassten Mitarbeitenden selbst auch zeichnen.  </w:t>
      </w:r>
    </w:p>
    <w:p w14:paraId="47F283AB" w14:textId="77777777" w:rsidR="00274D82" w:rsidRPr="004701C4" w:rsidRDefault="00274D82" w:rsidP="00075594">
      <w:pPr>
        <w:pStyle w:val="Listenabsatz"/>
        <w:spacing w:before="240"/>
        <w:jc w:val="both"/>
        <w:rPr>
          <w:rFonts w:asciiTheme="majorHAnsi" w:hAnsiTheme="majorHAnsi"/>
        </w:rPr>
      </w:pPr>
    </w:p>
    <w:p w14:paraId="3DB21ABD" w14:textId="77777777" w:rsidR="002A6126" w:rsidRPr="004701C4" w:rsidRDefault="00274D82" w:rsidP="00075594">
      <w:pPr>
        <w:pStyle w:val="Listenabsatz"/>
        <w:numPr>
          <w:ilvl w:val="0"/>
          <w:numId w:val="7"/>
        </w:numPr>
        <w:spacing w:before="240" w:after="0"/>
        <w:ind w:left="714" w:hanging="357"/>
        <w:contextualSpacing w:val="0"/>
        <w:jc w:val="both"/>
        <w:rPr>
          <w:rFonts w:asciiTheme="majorHAnsi" w:hAnsiTheme="majorHAnsi"/>
        </w:rPr>
      </w:pPr>
      <w:r w:rsidRPr="004701C4">
        <w:rPr>
          <w:rFonts w:asciiTheme="majorHAnsi" w:hAnsiTheme="majorHAnsi"/>
        </w:rPr>
        <w:lastRenderedPageBreak/>
        <w:t>Wenn die</w:t>
      </w:r>
      <w:r w:rsidR="002A6126" w:rsidRPr="004701C4">
        <w:rPr>
          <w:rFonts w:asciiTheme="majorHAnsi" w:hAnsiTheme="majorHAnsi"/>
        </w:rPr>
        <w:t xml:space="preserve"> </w:t>
      </w:r>
      <w:r w:rsidR="00877C2E" w:rsidRPr="004701C4">
        <w:rPr>
          <w:rFonts w:asciiTheme="majorHAnsi" w:hAnsiTheme="majorHAnsi"/>
          <w:smallCaps/>
        </w:rPr>
        <w:t>Gesellschaft</w:t>
      </w:r>
      <w:r w:rsidR="00877C2E" w:rsidRPr="004701C4">
        <w:rPr>
          <w:rFonts w:asciiTheme="majorHAnsi" w:hAnsiTheme="majorHAnsi"/>
        </w:rPr>
        <w:t xml:space="preserve"> </w:t>
      </w:r>
      <w:r w:rsidRPr="004701C4">
        <w:rPr>
          <w:rFonts w:asciiTheme="majorHAnsi" w:hAnsiTheme="majorHAnsi"/>
        </w:rPr>
        <w:t xml:space="preserve">oder ihre Mitarbeitenden in die gleichen Finanzinstrumente anlegen, wie Teile des Kundenvermögens, können den Kunden aus verschiedenen Gründen Benachteiligungen entstehen. </w:t>
      </w:r>
    </w:p>
    <w:p w14:paraId="74B89E1F" w14:textId="0D7807EA" w:rsidR="00274D82" w:rsidRPr="004701C4" w:rsidRDefault="00274D82" w:rsidP="00075594">
      <w:pPr>
        <w:pStyle w:val="Listenabsatz"/>
        <w:ind w:left="714"/>
        <w:contextualSpacing w:val="0"/>
        <w:jc w:val="both"/>
        <w:rPr>
          <w:rFonts w:asciiTheme="majorHAnsi" w:hAnsiTheme="majorHAnsi"/>
        </w:rPr>
      </w:pPr>
      <w:r w:rsidRPr="004701C4">
        <w:rPr>
          <w:rFonts w:asciiTheme="majorHAnsi" w:hAnsiTheme="majorHAnsi"/>
        </w:rPr>
        <w:t xml:space="preserve">Gesetzliche Vorschriften verbieten uns jegliche Geschäfte, die solche Benachteiligungen </w:t>
      </w:r>
      <w:r w:rsidR="00E71372" w:rsidRPr="004701C4">
        <w:rPr>
          <w:rFonts w:asciiTheme="majorHAnsi" w:hAnsiTheme="majorHAnsi"/>
        </w:rPr>
        <w:t>m</w:t>
      </w:r>
      <w:r w:rsidRPr="004701C4">
        <w:rPr>
          <w:rFonts w:asciiTheme="majorHAnsi" w:hAnsiTheme="majorHAnsi"/>
        </w:rPr>
        <w:t xml:space="preserve">it sich bringen können, wie das </w:t>
      </w:r>
      <w:r w:rsidR="00E71372" w:rsidRPr="004701C4">
        <w:rPr>
          <w:rFonts w:asciiTheme="majorHAnsi" w:hAnsiTheme="majorHAnsi"/>
        </w:rPr>
        <w:t xml:space="preserve">front, parallel oder after </w:t>
      </w:r>
      <w:proofErr w:type="spellStart"/>
      <w:r w:rsidR="00E71372" w:rsidRPr="004701C4">
        <w:rPr>
          <w:rFonts w:asciiTheme="majorHAnsi" w:hAnsiTheme="majorHAnsi"/>
        </w:rPr>
        <w:t>runn</w:t>
      </w:r>
      <w:r w:rsidRPr="004701C4">
        <w:rPr>
          <w:rFonts w:asciiTheme="majorHAnsi" w:hAnsiTheme="majorHAnsi"/>
        </w:rPr>
        <w:t>ing</w:t>
      </w:r>
      <w:proofErr w:type="spellEnd"/>
      <w:r w:rsidRPr="004701C4">
        <w:rPr>
          <w:rFonts w:asciiTheme="majorHAnsi" w:hAnsiTheme="majorHAnsi"/>
        </w:rPr>
        <w:t xml:space="preserve">, und wir werden hinsichtlich der Einhaltung dieser Verbote beaufsichtigt. Im Übrigen können die </w:t>
      </w:r>
      <w:r w:rsidRPr="004701C4">
        <w:rPr>
          <w:rFonts w:asciiTheme="majorHAnsi" w:hAnsiTheme="majorHAnsi"/>
          <w:smallCaps/>
        </w:rPr>
        <w:t>Gesellschaft</w:t>
      </w:r>
      <w:r w:rsidRPr="004701C4">
        <w:rPr>
          <w:rFonts w:asciiTheme="majorHAnsi" w:hAnsiTheme="majorHAnsi"/>
        </w:rPr>
        <w:t xml:space="preserve"> und ihre Mitarbeitenden im Rahmen ihrer eigenen Vermögensanlage in die gleichen Finanzinstrumente investieren, in welche auch Kundenvermögen angelegt werden oder sind. Sind die </w:t>
      </w:r>
      <w:r w:rsidRPr="004701C4">
        <w:rPr>
          <w:rFonts w:asciiTheme="majorHAnsi" w:hAnsiTheme="majorHAnsi"/>
          <w:smallCaps/>
        </w:rPr>
        <w:t>Gesellschaft</w:t>
      </w:r>
      <w:r w:rsidRPr="004701C4">
        <w:rPr>
          <w:rFonts w:asciiTheme="majorHAnsi" w:hAnsiTheme="majorHAnsi"/>
        </w:rPr>
        <w:t xml:space="preserve"> oder ihre Mitarbeitenden im Besitze von Insiderinformationen, so ist deren Missbrauch durch interne Vorschriften verboten. Im Übrigen tätigt die </w:t>
      </w:r>
      <w:r w:rsidRPr="004701C4">
        <w:rPr>
          <w:rFonts w:asciiTheme="majorHAnsi" w:hAnsiTheme="majorHAnsi"/>
          <w:smallCaps/>
        </w:rPr>
        <w:t>Gesellschaft</w:t>
      </w:r>
      <w:r w:rsidRPr="004701C4">
        <w:rPr>
          <w:rFonts w:asciiTheme="majorHAnsi" w:hAnsiTheme="majorHAnsi"/>
        </w:rPr>
        <w:t xml:space="preserve"> Anlagegeschäfte nur aufgrund öffentlich zugänglicher Informationen und auf der Grundlage von durch ihre Mitarbeitenden oder Beauftragten erstellten Finanzanalysen.    </w:t>
      </w:r>
    </w:p>
    <w:p w14:paraId="699706D1" w14:textId="657E13E4" w:rsidR="00274D82" w:rsidRPr="004701C4" w:rsidRDefault="00274D82" w:rsidP="00ED3CE6">
      <w:pPr>
        <w:pStyle w:val="Listenabsatz"/>
        <w:numPr>
          <w:ilvl w:val="0"/>
          <w:numId w:val="7"/>
        </w:numPr>
        <w:spacing w:before="240" w:after="0"/>
        <w:contextualSpacing w:val="0"/>
        <w:jc w:val="both"/>
        <w:rPr>
          <w:rFonts w:asciiTheme="majorHAnsi" w:hAnsiTheme="majorHAnsi"/>
        </w:rPr>
      </w:pPr>
      <w:r w:rsidRPr="004701C4">
        <w:rPr>
          <w:rFonts w:asciiTheme="majorHAnsi" w:hAnsiTheme="majorHAnsi"/>
        </w:rPr>
        <w:t>Wenn</w:t>
      </w:r>
      <w:r w:rsidR="00DE6E9C" w:rsidRPr="004701C4">
        <w:rPr>
          <w:rFonts w:asciiTheme="majorHAnsi" w:hAnsiTheme="majorHAnsi"/>
        </w:rPr>
        <w:t xml:space="preserve"> die</w:t>
      </w:r>
      <w:r w:rsidRPr="004701C4">
        <w:rPr>
          <w:rFonts w:asciiTheme="majorHAnsi" w:hAnsiTheme="majorHAnsi"/>
          <w:smallCaps/>
        </w:rPr>
        <w:t xml:space="preserve"> G</w:t>
      </w:r>
      <w:r w:rsidR="00DE6E9C" w:rsidRPr="004701C4">
        <w:rPr>
          <w:rFonts w:asciiTheme="majorHAnsi" w:hAnsiTheme="majorHAnsi"/>
          <w:smallCaps/>
        </w:rPr>
        <w:t>esellschaft</w:t>
      </w:r>
      <w:r w:rsidRPr="004701C4">
        <w:rPr>
          <w:rFonts w:asciiTheme="majorHAnsi" w:hAnsiTheme="majorHAnsi"/>
        </w:rPr>
        <w:t xml:space="preserve"> für mehrere Kunden und bei mehreren Depotbanken Aufträge für Kunden erteilt, so kann keine Gewähr dafür geboten werden, dass die Aufträge für alle Kunden zu den gleichen Konditionen ausgeführt werden können. Die Gesellschaft organisiert die Erteilung der Aufträge so, dass schwerwiegende Benachteiligungen einzelner Kunden vermieden werden. Eine vollständige Gleichbehandlung der Kunden in preislicher und zeitlicher Hinsicht kann aber nicht gewährleistet werden. </w:t>
      </w:r>
    </w:p>
    <w:p w14:paraId="6CA1A2F4" w14:textId="6B9F4D99" w:rsidR="009A13AA" w:rsidRPr="004701C4" w:rsidRDefault="009A13AA" w:rsidP="00484927">
      <w:pPr>
        <w:jc w:val="both"/>
        <w:rPr>
          <w:rFonts w:asciiTheme="majorHAnsi" w:hAnsiTheme="majorHAnsi"/>
        </w:rPr>
      </w:pPr>
    </w:p>
    <w:p w14:paraId="655CFA16" w14:textId="5F86BB69" w:rsidR="002005F8" w:rsidRPr="004701C4" w:rsidRDefault="002005F8" w:rsidP="00075594">
      <w:pPr>
        <w:pStyle w:val="berschrift1"/>
      </w:pPr>
      <w:bookmarkStart w:id="16" w:name="_Toc74047623"/>
      <w:r w:rsidRPr="004701C4">
        <w:t>Rechenschaftsablage</w:t>
      </w:r>
      <w:r w:rsidR="00D86497" w:rsidRPr="004701C4">
        <w:t xml:space="preserve"> der </w:t>
      </w:r>
      <w:r w:rsidR="000B7C05" w:rsidRPr="004701C4">
        <w:t>Gesellschaft</w:t>
      </w:r>
      <w:r w:rsidR="00274D82" w:rsidRPr="004701C4">
        <w:t xml:space="preserve"> gegenüber den Kunden</w:t>
      </w:r>
      <w:bookmarkEnd w:id="16"/>
    </w:p>
    <w:p w14:paraId="3AF3064B" w14:textId="35980F06" w:rsidR="002005F8" w:rsidRPr="004701C4" w:rsidRDefault="002005F8" w:rsidP="00484927">
      <w:pPr>
        <w:jc w:val="both"/>
        <w:rPr>
          <w:rFonts w:asciiTheme="majorHAnsi" w:hAnsiTheme="majorHAnsi"/>
        </w:rPr>
      </w:pPr>
      <w:r w:rsidRPr="004701C4">
        <w:rPr>
          <w:rFonts w:asciiTheme="majorHAnsi" w:hAnsiTheme="majorHAnsi"/>
        </w:rPr>
        <w:t xml:space="preserve">Die </w:t>
      </w:r>
      <w:r w:rsidR="000B7C05" w:rsidRPr="004701C4">
        <w:rPr>
          <w:rFonts w:asciiTheme="majorHAnsi" w:hAnsiTheme="majorHAnsi"/>
          <w:smallCaps/>
        </w:rPr>
        <w:t>Gesellschaft</w:t>
      </w:r>
      <w:r w:rsidRPr="004701C4">
        <w:rPr>
          <w:rFonts w:asciiTheme="majorHAnsi" w:hAnsiTheme="majorHAnsi"/>
        </w:rPr>
        <w:t xml:space="preserve"> legt ihren Kunden ausschliesslich aufgrund der </w:t>
      </w:r>
      <w:r w:rsidR="00274D82" w:rsidRPr="004701C4">
        <w:rPr>
          <w:rFonts w:asciiTheme="majorHAnsi" w:hAnsiTheme="majorHAnsi"/>
        </w:rPr>
        <w:t xml:space="preserve">für den Kunden ausgestellten </w:t>
      </w:r>
      <w:r w:rsidRPr="004701C4">
        <w:rPr>
          <w:rFonts w:asciiTheme="majorHAnsi" w:hAnsiTheme="majorHAnsi"/>
        </w:rPr>
        <w:t>Bankbelege</w:t>
      </w:r>
      <w:r w:rsidR="00274D82" w:rsidRPr="004701C4">
        <w:rPr>
          <w:rFonts w:asciiTheme="majorHAnsi" w:hAnsiTheme="majorHAnsi"/>
        </w:rPr>
        <w:t xml:space="preserve"> </w:t>
      </w:r>
      <w:r w:rsidRPr="004701C4">
        <w:rPr>
          <w:rFonts w:asciiTheme="majorHAnsi" w:hAnsiTheme="majorHAnsi"/>
        </w:rPr>
        <w:t xml:space="preserve">Rechenschaft über ihre Tätigkeit ab. In den Belegen und Auszügen </w:t>
      </w:r>
      <w:r w:rsidR="00952054" w:rsidRPr="004701C4">
        <w:rPr>
          <w:rFonts w:asciiTheme="majorHAnsi" w:hAnsiTheme="majorHAnsi"/>
        </w:rPr>
        <w:t xml:space="preserve">betreffend die Konti/Depots des Kunden bei </w:t>
      </w:r>
      <w:r w:rsidRPr="004701C4">
        <w:rPr>
          <w:rFonts w:asciiTheme="majorHAnsi" w:hAnsiTheme="majorHAnsi"/>
        </w:rPr>
        <w:t xml:space="preserve">der </w:t>
      </w:r>
      <w:r w:rsidR="00952054" w:rsidRPr="004701C4">
        <w:rPr>
          <w:rFonts w:asciiTheme="majorHAnsi" w:hAnsiTheme="majorHAnsi"/>
        </w:rPr>
        <w:t xml:space="preserve">entsprechenden </w:t>
      </w:r>
      <w:r w:rsidRPr="004701C4">
        <w:rPr>
          <w:rFonts w:asciiTheme="majorHAnsi" w:hAnsiTheme="majorHAnsi"/>
        </w:rPr>
        <w:t xml:space="preserve">Depotbank wird das Honorar der </w:t>
      </w:r>
      <w:r w:rsidR="000B7C05" w:rsidRPr="004701C4">
        <w:rPr>
          <w:rFonts w:asciiTheme="majorHAnsi" w:hAnsiTheme="majorHAnsi"/>
          <w:smallCaps/>
        </w:rPr>
        <w:t>Gesellschaft</w:t>
      </w:r>
      <w:r w:rsidRPr="004701C4">
        <w:rPr>
          <w:rFonts w:asciiTheme="majorHAnsi" w:hAnsiTheme="majorHAnsi"/>
        </w:rPr>
        <w:t xml:space="preserve"> als Bezug und nicht als Kosten der Vermögensverwaltung ausgewiesen. Eine in Prozentpunkten ausgedrückte Performance wird damit geringfügig besser ausgewiesen als die effektive Performance nach Kosten.</w:t>
      </w:r>
    </w:p>
    <w:p w14:paraId="18453F18" w14:textId="77777777" w:rsidR="00274D82" w:rsidRPr="004701C4" w:rsidRDefault="00274D82" w:rsidP="00484927">
      <w:pPr>
        <w:jc w:val="both"/>
        <w:rPr>
          <w:rFonts w:asciiTheme="majorHAnsi" w:hAnsiTheme="majorHAnsi"/>
        </w:rPr>
      </w:pPr>
      <w:r w:rsidRPr="004701C4">
        <w:rPr>
          <w:rFonts w:asciiTheme="majorHAnsi" w:hAnsiTheme="majorHAnsi"/>
        </w:rPr>
        <w:t xml:space="preserve">Die </w:t>
      </w:r>
      <w:r w:rsidRPr="004701C4">
        <w:rPr>
          <w:rFonts w:asciiTheme="majorHAnsi" w:hAnsiTheme="majorHAnsi"/>
          <w:smallCaps/>
        </w:rPr>
        <w:t>Gesellschaft</w:t>
      </w:r>
      <w:r w:rsidRPr="004701C4">
        <w:rPr>
          <w:rFonts w:asciiTheme="majorHAnsi" w:hAnsiTheme="majorHAnsi"/>
        </w:rPr>
        <w:t xml:space="preserve"> legt den Kunden zu den im individuellen Vertrag bestimmten sowie auf Aufforderung die Konto-, Depot- und Performanceübersichten ihrer Depotbanken vor. </w:t>
      </w:r>
    </w:p>
    <w:p w14:paraId="33923903" w14:textId="77777777" w:rsidR="00274D82" w:rsidRPr="004701C4" w:rsidRDefault="00274D82" w:rsidP="00484927">
      <w:pPr>
        <w:jc w:val="both"/>
        <w:rPr>
          <w:rFonts w:asciiTheme="majorHAnsi" w:hAnsiTheme="majorHAnsi"/>
        </w:rPr>
      </w:pPr>
      <w:r w:rsidRPr="004701C4">
        <w:rPr>
          <w:rFonts w:asciiTheme="majorHAnsi" w:hAnsiTheme="majorHAnsi"/>
        </w:rPr>
        <w:t xml:space="preserve">Die Herausgabe weiterer Dokumente und Informationen richtet sich nach Art. 72 f. FIDLEG und den Bestimmungen des Datenschutzgesetzes.  </w:t>
      </w:r>
    </w:p>
    <w:p w14:paraId="5410581A" w14:textId="424CD87B" w:rsidR="00E846BD" w:rsidRPr="004701C4" w:rsidRDefault="00274D82" w:rsidP="00075594">
      <w:pPr>
        <w:pStyle w:val="berschrift1"/>
      </w:pPr>
      <w:bookmarkStart w:id="17" w:name="_Toc74047624"/>
      <w:r w:rsidRPr="004701C4">
        <w:lastRenderedPageBreak/>
        <w:t>Weitere Informationen</w:t>
      </w:r>
      <w:bookmarkEnd w:id="17"/>
      <w:r w:rsidRPr="004701C4">
        <w:t xml:space="preserve"> </w:t>
      </w:r>
    </w:p>
    <w:p w14:paraId="1210CB38" w14:textId="05974823" w:rsidR="002005F8" w:rsidRPr="004701C4" w:rsidRDefault="002005F8" w:rsidP="0028336C">
      <w:pPr>
        <w:pStyle w:val="berschrift2"/>
        <w:ind w:left="426" w:hanging="426"/>
        <w:rPr>
          <w:b w:val="0"/>
        </w:rPr>
      </w:pPr>
      <w:bookmarkStart w:id="18" w:name="_Toc74047625"/>
      <w:r w:rsidRPr="004701C4">
        <w:t>Informationen übe</w:t>
      </w:r>
      <w:r w:rsidR="00274D82" w:rsidRPr="004701C4">
        <w:t>r</w:t>
      </w:r>
      <w:r w:rsidRPr="004701C4">
        <w:t xml:space="preserve"> die Delegation von wesentlichen</w:t>
      </w:r>
      <w:r w:rsidR="0028336C" w:rsidRPr="004701C4">
        <w:rPr>
          <w:b w:val="0"/>
        </w:rPr>
        <w:t xml:space="preserve"> </w:t>
      </w:r>
      <w:r w:rsidRPr="004701C4">
        <w:t>Dienstleistungen</w:t>
      </w:r>
      <w:bookmarkEnd w:id="18"/>
    </w:p>
    <w:p w14:paraId="2950DACB" w14:textId="6143D8BC" w:rsidR="00274D82" w:rsidRPr="004701C4" w:rsidRDefault="00485004" w:rsidP="00484927">
      <w:pPr>
        <w:jc w:val="both"/>
        <w:rPr>
          <w:rFonts w:asciiTheme="majorHAnsi" w:hAnsiTheme="majorHAnsi"/>
        </w:rPr>
      </w:pPr>
      <w:r w:rsidRPr="004701C4">
        <w:rPr>
          <w:rFonts w:asciiTheme="majorHAnsi" w:hAnsiTheme="majorHAnsi"/>
        </w:rPr>
        <w:t xml:space="preserve">Die </w:t>
      </w:r>
      <w:r w:rsidR="00274D82" w:rsidRPr="004701C4">
        <w:rPr>
          <w:rFonts w:asciiTheme="majorHAnsi" w:hAnsiTheme="majorHAnsi"/>
          <w:smallCaps/>
        </w:rPr>
        <w:t>Gesellschaft</w:t>
      </w:r>
      <w:r w:rsidR="00274D82" w:rsidRPr="004701C4">
        <w:rPr>
          <w:rFonts w:asciiTheme="majorHAnsi" w:hAnsiTheme="majorHAnsi"/>
        </w:rPr>
        <w:t xml:space="preserve"> </w:t>
      </w:r>
      <w:r w:rsidRPr="004701C4">
        <w:rPr>
          <w:rFonts w:asciiTheme="majorHAnsi" w:hAnsiTheme="majorHAnsi"/>
        </w:rPr>
        <w:t xml:space="preserve">übt die </w:t>
      </w:r>
      <w:r w:rsidR="00274D82" w:rsidRPr="004701C4">
        <w:rPr>
          <w:rFonts w:asciiTheme="majorHAnsi" w:hAnsiTheme="majorHAnsi"/>
        </w:rPr>
        <w:t xml:space="preserve">Anlagetätigkeit </w:t>
      </w:r>
      <w:r w:rsidRPr="004701C4">
        <w:rPr>
          <w:rFonts w:asciiTheme="majorHAnsi" w:hAnsiTheme="majorHAnsi"/>
        </w:rPr>
        <w:t xml:space="preserve">im Namen und auf Rechnung und Gefahr des Auftraggebers aus. </w:t>
      </w:r>
      <w:r w:rsidR="00274D82" w:rsidRPr="004701C4">
        <w:rPr>
          <w:rFonts w:asciiTheme="majorHAnsi" w:hAnsiTheme="majorHAnsi"/>
        </w:rPr>
        <w:t xml:space="preserve">Sie behält sich vor, auch </w:t>
      </w:r>
      <w:r w:rsidR="002005F8" w:rsidRPr="004701C4">
        <w:rPr>
          <w:rFonts w:asciiTheme="majorHAnsi" w:hAnsiTheme="majorHAnsi"/>
        </w:rPr>
        <w:t>wesentliche betriebliche Aufgaben</w:t>
      </w:r>
      <w:r w:rsidR="00E71372" w:rsidRPr="004701C4">
        <w:rPr>
          <w:rFonts w:asciiTheme="majorHAnsi" w:hAnsiTheme="majorHAnsi"/>
        </w:rPr>
        <w:t xml:space="preserve"> der</w:t>
      </w:r>
      <w:r w:rsidR="002005F8" w:rsidRPr="004701C4">
        <w:rPr>
          <w:rFonts w:asciiTheme="majorHAnsi" w:hAnsiTheme="majorHAnsi"/>
        </w:rPr>
        <w:t xml:space="preserve"> </w:t>
      </w:r>
      <w:r w:rsidR="000B7C05" w:rsidRPr="004701C4">
        <w:rPr>
          <w:rFonts w:asciiTheme="majorHAnsi" w:hAnsiTheme="majorHAnsi"/>
          <w:smallCaps/>
        </w:rPr>
        <w:t>Gesellschaft</w:t>
      </w:r>
      <w:r w:rsidR="002005F8" w:rsidRPr="004701C4">
        <w:rPr>
          <w:rFonts w:asciiTheme="majorHAnsi" w:hAnsiTheme="majorHAnsi"/>
        </w:rPr>
        <w:t xml:space="preserve"> an Dritte </w:t>
      </w:r>
      <w:r w:rsidR="00274D82" w:rsidRPr="004701C4">
        <w:rPr>
          <w:rFonts w:asciiTheme="majorHAnsi" w:hAnsiTheme="majorHAnsi"/>
        </w:rPr>
        <w:t>auszulagern</w:t>
      </w:r>
      <w:r w:rsidR="00E71372" w:rsidRPr="004701C4">
        <w:rPr>
          <w:rFonts w:asciiTheme="majorHAnsi" w:hAnsiTheme="majorHAnsi"/>
        </w:rPr>
        <w:t>.</w:t>
      </w:r>
      <w:r w:rsidR="00274D82" w:rsidRPr="004701C4">
        <w:rPr>
          <w:rFonts w:asciiTheme="majorHAnsi" w:hAnsiTheme="majorHAnsi"/>
        </w:rPr>
        <w:t xml:space="preserve"> </w:t>
      </w:r>
      <w:r w:rsidR="00274D82" w:rsidRPr="004701C4">
        <w:rPr>
          <w:rFonts w:asciiTheme="majorHAnsi" w:hAnsiTheme="majorHAnsi" w:cs="Calibri"/>
          <w:iCs/>
        </w:rPr>
        <w:t xml:space="preserve">Die </w:t>
      </w:r>
      <w:r w:rsidR="00274D82" w:rsidRPr="004701C4">
        <w:rPr>
          <w:rFonts w:asciiTheme="majorHAnsi" w:hAnsiTheme="majorHAnsi"/>
          <w:smallCaps/>
        </w:rPr>
        <w:t>Gesellschaft</w:t>
      </w:r>
      <w:r w:rsidR="00274D82" w:rsidRPr="004701C4">
        <w:rPr>
          <w:rFonts w:asciiTheme="majorHAnsi" w:hAnsiTheme="majorHAnsi"/>
        </w:rPr>
        <w:t xml:space="preserve"> </w:t>
      </w:r>
      <w:r w:rsidR="00274D82" w:rsidRPr="004701C4">
        <w:rPr>
          <w:rFonts w:asciiTheme="majorHAnsi" w:hAnsiTheme="majorHAnsi" w:cs="Calibri"/>
          <w:iCs/>
        </w:rPr>
        <w:t>stellt sicher, dass die beigezogenen Dritten über die für ihre Tätigkeit notwendigen Fähigkeiten, Kenntnisse und Erfahrungen sowie über die für die Tätigkeit erforderlichen Bewilligungen und Registereinträge verfügen. Der Vermögensverwalter haftet nur für die gehörige Sorgfalt bei der Auswahl, Instruktion und Überwachung dieser Dritten.</w:t>
      </w:r>
      <w:r w:rsidR="00274D82" w:rsidRPr="004701C4">
        <w:rPr>
          <w:rFonts w:asciiTheme="majorHAnsi" w:hAnsiTheme="majorHAnsi"/>
        </w:rPr>
        <w:t xml:space="preserve"> </w:t>
      </w:r>
    </w:p>
    <w:p w14:paraId="1DE6611C" w14:textId="779E99F8" w:rsidR="002005F8" w:rsidRPr="004701C4" w:rsidRDefault="00274D82" w:rsidP="00484927">
      <w:pPr>
        <w:jc w:val="both"/>
        <w:rPr>
          <w:rFonts w:asciiTheme="majorHAnsi" w:hAnsiTheme="majorHAnsi"/>
        </w:rPr>
      </w:pPr>
      <w:r w:rsidRPr="004701C4">
        <w:rPr>
          <w:rFonts w:asciiTheme="majorHAnsi" w:hAnsiTheme="majorHAnsi"/>
        </w:rPr>
        <w:t xml:space="preserve">Nicht als Delegation gelten Verhältnisse, in denen die </w:t>
      </w:r>
      <w:r w:rsidRPr="004701C4">
        <w:rPr>
          <w:rFonts w:asciiTheme="majorHAnsi" w:hAnsiTheme="majorHAnsi"/>
          <w:smallCaps/>
        </w:rPr>
        <w:t>Gesellschaft</w:t>
      </w:r>
      <w:r w:rsidRPr="004701C4">
        <w:rPr>
          <w:rFonts w:asciiTheme="majorHAnsi" w:hAnsiTheme="majorHAnsi"/>
        </w:rPr>
        <w:t xml:space="preserve"> ihren Kunden Drittdienstleister wie Banken, Emittenten, Anwälte, Steuerberater oder Treuhänder vermittelt. </w:t>
      </w:r>
    </w:p>
    <w:p w14:paraId="2A282DF7" w14:textId="77777777" w:rsidR="00274D82" w:rsidRPr="004701C4" w:rsidRDefault="00274D82" w:rsidP="00274D82">
      <w:pPr>
        <w:pStyle w:val="berschrift2"/>
        <w:ind w:left="426" w:hanging="426"/>
        <w:rPr>
          <w:b w:val="0"/>
        </w:rPr>
      </w:pPr>
      <w:bookmarkStart w:id="19" w:name="_Toc74047626"/>
      <w:r w:rsidRPr="004701C4">
        <w:t>Informationen zur Informationserhebung, Datenbearbeitung und Kundenklassierung</w:t>
      </w:r>
      <w:bookmarkEnd w:id="19"/>
    </w:p>
    <w:p w14:paraId="451B678F" w14:textId="2D3CCA21" w:rsidR="00C856AD" w:rsidRPr="004701C4" w:rsidRDefault="00274D82" w:rsidP="006A2590">
      <w:pPr>
        <w:jc w:val="both"/>
        <w:rPr>
          <w:rFonts w:asciiTheme="majorHAnsi" w:hAnsiTheme="majorHAnsi" w:cs="Calibri"/>
          <w:iCs/>
          <w:szCs w:val="20"/>
        </w:rPr>
      </w:pPr>
      <w:r w:rsidRPr="004701C4">
        <w:rPr>
          <w:rFonts w:asciiTheme="majorHAnsi" w:hAnsiTheme="majorHAnsi"/>
        </w:rPr>
        <w:t xml:space="preserve">Die </w:t>
      </w:r>
      <w:r w:rsidRPr="004701C4">
        <w:rPr>
          <w:rFonts w:asciiTheme="majorHAnsi" w:hAnsiTheme="majorHAnsi"/>
          <w:smallCaps/>
        </w:rPr>
        <w:t>Gesellschaft</w:t>
      </w:r>
      <w:r w:rsidRPr="004701C4">
        <w:rPr>
          <w:rFonts w:asciiTheme="majorHAnsi" w:hAnsiTheme="majorHAnsi"/>
        </w:rPr>
        <w:t xml:space="preserve"> </w:t>
      </w:r>
      <w:r w:rsidR="002D393B" w:rsidRPr="004701C4">
        <w:rPr>
          <w:rFonts w:asciiTheme="majorHAnsi" w:hAnsiTheme="majorHAnsi"/>
        </w:rPr>
        <w:t>stuft alle</w:t>
      </w:r>
      <w:r w:rsidRPr="004701C4">
        <w:rPr>
          <w:rFonts w:asciiTheme="majorHAnsi" w:hAnsiTheme="majorHAnsi"/>
        </w:rPr>
        <w:t xml:space="preserve"> ihre Kunden nach Bestimmungen des schweizerischen Finanzdienstleistungsgesetzes ein. Als Privatanleger eingestufte Kunden können unter Umständen verlangen, dass sie als professionelle Anleger eingestuft w</w:t>
      </w:r>
      <w:r w:rsidR="002D393B" w:rsidRPr="004701C4">
        <w:rPr>
          <w:rFonts w:asciiTheme="majorHAnsi" w:hAnsiTheme="majorHAnsi"/>
        </w:rPr>
        <w:t xml:space="preserve">erden. </w:t>
      </w:r>
      <w:r w:rsidRPr="004701C4">
        <w:rPr>
          <w:rFonts w:asciiTheme="majorHAnsi" w:hAnsiTheme="majorHAnsi"/>
        </w:rPr>
        <w:t xml:space="preserve">Im Rahmen der Kundeneinstufung und zur Erfüllung der gesetzlichen Vorschriften zur Prävention und Bekämpfung von Geldwäscherei und Terrorismusfinanzierung erhebt die Gesellschaft von ihren Kunden Informationen über ihre persönlichen und finanziellen Verhältnisse. Die </w:t>
      </w:r>
      <w:r w:rsidRPr="004701C4">
        <w:rPr>
          <w:rFonts w:asciiTheme="majorHAnsi" w:hAnsiTheme="majorHAnsi"/>
          <w:smallCaps/>
        </w:rPr>
        <w:t>Gesellschaft</w:t>
      </w:r>
      <w:r w:rsidRPr="004701C4">
        <w:rPr>
          <w:rFonts w:asciiTheme="majorHAnsi" w:hAnsiTheme="majorHAnsi"/>
        </w:rPr>
        <w:t xml:space="preserve"> bearbeitet in diesem Zusammenhang unter Umständen auch Personenprofile und besonders schützenswerte Personendaten. Verweigert der Kunde die Preisgabe entsprechender Informationen, so kann die </w:t>
      </w:r>
      <w:r w:rsidRPr="004701C4">
        <w:rPr>
          <w:rFonts w:asciiTheme="majorHAnsi" w:hAnsiTheme="majorHAnsi"/>
          <w:smallCaps/>
        </w:rPr>
        <w:t>Gesellschaft</w:t>
      </w:r>
      <w:r w:rsidRPr="004701C4">
        <w:rPr>
          <w:rFonts w:asciiTheme="majorHAnsi" w:hAnsiTheme="majorHAnsi"/>
        </w:rPr>
        <w:t xml:space="preserve"> unter Umständen bestimmte Dienstleistungen nicht erbringen, oder darf eine Geschäftsbeziehung nicht aufnehmen bzw. muss diese beenden.</w:t>
      </w:r>
    </w:p>
    <w:p w14:paraId="4760A1C8" w14:textId="77777777" w:rsidR="00074F19" w:rsidRPr="004701C4" w:rsidRDefault="00780C84" w:rsidP="00B44A5B">
      <w:pPr>
        <w:pStyle w:val="berschrift2"/>
        <w:ind w:left="567" w:hanging="567"/>
        <w:rPr>
          <w:b w:val="0"/>
        </w:rPr>
      </w:pPr>
      <w:r w:rsidRPr="004701C4">
        <w:t xml:space="preserve"> </w:t>
      </w:r>
      <w:bookmarkStart w:id="20" w:name="_Toc74047627"/>
      <w:r w:rsidR="00074F19" w:rsidRPr="004701C4">
        <w:t xml:space="preserve">Kundeninformation nach dem </w:t>
      </w:r>
      <w:r w:rsidR="00952054" w:rsidRPr="004701C4">
        <w:t>Bundesgesetz über kollektive Anlagen (</w:t>
      </w:r>
      <w:r w:rsidR="00074F19" w:rsidRPr="004701C4">
        <w:t>KAG</w:t>
      </w:r>
      <w:r w:rsidR="00952054" w:rsidRPr="004701C4">
        <w:t>)</w:t>
      </w:r>
      <w:bookmarkEnd w:id="20"/>
    </w:p>
    <w:p w14:paraId="612B3E69" w14:textId="7E50EE98" w:rsidR="00074F19" w:rsidRPr="004701C4" w:rsidRDefault="00274D82" w:rsidP="00484927">
      <w:pPr>
        <w:jc w:val="both"/>
        <w:rPr>
          <w:rFonts w:asciiTheme="majorHAnsi" w:hAnsiTheme="majorHAnsi"/>
        </w:rPr>
      </w:pPr>
      <w:r w:rsidRPr="004701C4">
        <w:rPr>
          <w:rFonts w:asciiTheme="majorHAnsi" w:hAnsiTheme="majorHAnsi"/>
        </w:rPr>
        <w:t>Aufgrund</w:t>
      </w:r>
      <w:r w:rsidR="00074F19" w:rsidRPr="004701C4">
        <w:rPr>
          <w:rFonts w:asciiTheme="majorHAnsi" w:hAnsiTheme="majorHAnsi"/>
        </w:rPr>
        <w:t xml:space="preserve"> de</w:t>
      </w:r>
      <w:r w:rsidRPr="004701C4">
        <w:rPr>
          <w:rFonts w:asciiTheme="majorHAnsi" w:hAnsiTheme="majorHAnsi"/>
        </w:rPr>
        <w:t>s</w:t>
      </w:r>
      <w:r w:rsidR="00074F19" w:rsidRPr="004701C4">
        <w:rPr>
          <w:rFonts w:asciiTheme="majorHAnsi" w:hAnsiTheme="majorHAnsi"/>
        </w:rPr>
        <w:t xml:space="preserve"> mit der </w:t>
      </w:r>
      <w:r w:rsidR="000B7C05" w:rsidRPr="004701C4">
        <w:rPr>
          <w:rFonts w:asciiTheme="majorHAnsi" w:hAnsiTheme="majorHAnsi"/>
          <w:smallCaps/>
        </w:rPr>
        <w:t>Gesellschaft</w:t>
      </w:r>
      <w:r w:rsidR="00074F19" w:rsidRPr="004701C4">
        <w:rPr>
          <w:rFonts w:asciiTheme="majorHAnsi" w:hAnsiTheme="majorHAnsi"/>
        </w:rPr>
        <w:t xml:space="preserve"> abgeschlossenen schriftlichen Vermögensverwaltungsvertrag gelten die </w:t>
      </w:r>
      <w:r w:rsidRPr="004701C4">
        <w:rPr>
          <w:rFonts w:asciiTheme="majorHAnsi" w:hAnsiTheme="majorHAnsi"/>
        </w:rPr>
        <w:t xml:space="preserve">Kunden </w:t>
      </w:r>
      <w:r w:rsidR="00952054" w:rsidRPr="004701C4">
        <w:rPr>
          <w:rFonts w:asciiTheme="majorHAnsi" w:hAnsiTheme="majorHAnsi"/>
        </w:rPr>
        <w:t xml:space="preserve">als qualifizierte Anleger </w:t>
      </w:r>
      <w:r w:rsidRPr="004701C4">
        <w:rPr>
          <w:rFonts w:asciiTheme="majorHAnsi" w:hAnsiTheme="majorHAnsi"/>
        </w:rPr>
        <w:t>im Sinne der Gesetzgebung über kollektive Kapitalanlagen</w:t>
      </w:r>
      <w:r w:rsidR="00074F19" w:rsidRPr="004701C4">
        <w:rPr>
          <w:rFonts w:asciiTheme="majorHAnsi" w:hAnsiTheme="majorHAnsi"/>
        </w:rPr>
        <w:t xml:space="preserve">. </w:t>
      </w:r>
      <w:r w:rsidRPr="004701C4">
        <w:rPr>
          <w:rFonts w:asciiTheme="majorHAnsi" w:hAnsiTheme="majorHAnsi"/>
        </w:rPr>
        <w:t xml:space="preserve">Es </w:t>
      </w:r>
      <w:r w:rsidR="00074F19" w:rsidRPr="004701C4">
        <w:rPr>
          <w:rFonts w:asciiTheme="majorHAnsi" w:hAnsiTheme="majorHAnsi"/>
        </w:rPr>
        <w:t xml:space="preserve">können </w:t>
      </w:r>
      <w:r w:rsidRPr="004701C4">
        <w:rPr>
          <w:rFonts w:asciiTheme="majorHAnsi" w:hAnsiTheme="majorHAnsi"/>
        </w:rPr>
        <w:t xml:space="preserve">damit </w:t>
      </w:r>
      <w:r w:rsidR="00074F19" w:rsidRPr="004701C4">
        <w:rPr>
          <w:rFonts w:asciiTheme="majorHAnsi" w:hAnsiTheme="majorHAnsi"/>
        </w:rPr>
        <w:t>auch</w:t>
      </w:r>
      <w:r w:rsidRPr="004701C4">
        <w:rPr>
          <w:rFonts w:asciiTheme="majorHAnsi" w:hAnsiTheme="majorHAnsi"/>
        </w:rPr>
        <w:t xml:space="preserve"> Anlagen in</w:t>
      </w:r>
      <w:r w:rsidR="00074F19" w:rsidRPr="004701C4">
        <w:rPr>
          <w:rFonts w:asciiTheme="majorHAnsi" w:hAnsiTheme="majorHAnsi"/>
        </w:rPr>
        <w:t xml:space="preserve"> Produkte </w:t>
      </w:r>
      <w:r w:rsidRPr="004701C4">
        <w:rPr>
          <w:rFonts w:asciiTheme="majorHAnsi" w:hAnsiTheme="majorHAnsi"/>
        </w:rPr>
        <w:t xml:space="preserve">getätigt </w:t>
      </w:r>
      <w:r w:rsidR="00074F19" w:rsidRPr="004701C4">
        <w:rPr>
          <w:rFonts w:asciiTheme="majorHAnsi" w:hAnsiTheme="majorHAnsi"/>
        </w:rPr>
        <w:t xml:space="preserve">werden, die ausschliesslich qualifizierten Anlegern zugänglich sind. </w:t>
      </w:r>
      <w:r w:rsidRPr="004701C4">
        <w:rPr>
          <w:rFonts w:asciiTheme="majorHAnsi" w:hAnsiTheme="majorHAnsi"/>
        </w:rPr>
        <w:t xml:space="preserve">Diese Produkte sind in der Regel nicht für nicht-qualifizierte Anleger bestimmt und unterliegen schwächeren Anlegerschutzbestimmungen. </w:t>
      </w:r>
    </w:p>
    <w:p w14:paraId="53062A4B" w14:textId="747C3B96" w:rsidR="00074F19" w:rsidRPr="004701C4" w:rsidRDefault="00274D82" w:rsidP="00484927">
      <w:pPr>
        <w:jc w:val="both"/>
        <w:rPr>
          <w:rFonts w:asciiTheme="majorHAnsi" w:hAnsiTheme="majorHAnsi"/>
        </w:rPr>
      </w:pPr>
      <w:r w:rsidRPr="004701C4">
        <w:rPr>
          <w:rFonts w:asciiTheme="majorHAnsi" w:hAnsiTheme="majorHAnsi"/>
        </w:rPr>
        <w:t>Jeder</w:t>
      </w:r>
      <w:r w:rsidR="00074F19" w:rsidRPr="004701C4">
        <w:rPr>
          <w:rFonts w:asciiTheme="majorHAnsi" w:hAnsiTheme="majorHAnsi"/>
        </w:rPr>
        <w:t xml:space="preserve"> Kunde</w:t>
      </w:r>
      <w:r w:rsidR="0015374E" w:rsidRPr="004701C4">
        <w:rPr>
          <w:rFonts w:asciiTheme="majorHAnsi" w:hAnsiTheme="majorHAnsi"/>
        </w:rPr>
        <w:t xml:space="preserve"> kann</w:t>
      </w:r>
      <w:r w:rsidR="00074F19" w:rsidRPr="004701C4">
        <w:rPr>
          <w:rFonts w:asciiTheme="majorHAnsi" w:hAnsiTheme="majorHAnsi"/>
        </w:rPr>
        <w:t xml:space="preserve"> gegenüber der </w:t>
      </w:r>
      <w:r w:rsidR="000B7C05" w:rsidRPr="004701C4">
        <w:rPr>
          <w:rFonts w:asciiTheme="majorHAnsi" w:hAnsiTheme="majorHAnsi"/>
          <w:smallCaps/>
        </w:rPr>
        <w:t>Gesellschaft</w:t>
      </w:r>
      <w:r w:rsidR="00074F19" w:rsidRPr="004701C4">
        <w:rPr>
          <w:rFonts w:asciiTheme="majorHAnsi" w:hAnsiTheme="majorHAnsi"/>
        </w:rPr>
        <w:t xml:space="preserve"> schriftlich erklären, dass er nicht als </w:t>
      </w:r>
      <w:r w:rsidR="00ED3693" w:rsidRPr="004701C4">
        <w:rPr>
          <w:rFonts w:asciiTheme="majorHAnsi" w:hAnsiTheme="majorHAnsi"/>
        </w:rPr>
        <w:t>qualifizierter</w:t>
      </w:r>
      <w:r w:rsidR="00074F19" w:rsidRPr="004701C4">
        <w:rPr>
          <w:rFonts w:asciiTheme="majorHAnsi" w:hAnsiTheme="majorHAnsi"/>
        </w:rPr>
        <w:t xml:space="preserve"> Anleger gelten will.</w:t>
      </w:r>
      <w:r w:rsidRPr="004701C4">
        <w:rPr>
          <w:rFonts w:asciiTheme="majorHAnsi" w:hAnsiTheme="majorHAnsi"/>
        </w:rPr>
        <w:t xml:space="preserve"> Anlagen in Finanzprodukte, die für qualifizierte Anleger bestimmt sind, werden dann keine getätigt. Bestehende Anlagen in solche Produkte werden schnellstmöglich aufgelöst. </w:t>
      </w:r>
    </w:p>
    <w:p w14:paraId="2E916B85" w14:textId="77777777" w:rsidR="007C3563" w:rsidRPr="004701C4" w:rsidRDefault="007C3563" w:rsidP="007C3563">
      <w:pPr>
        <w:pStyle w:val="berschrift2"/>
        <w:ind w:left="567"/>
      </w:pPr>
      <w:bookmarkStart w:id="21" w:name="_Toc74047628"/>
      <w:r w:rsidRPr="004701C4">
        <w:lastRenderedPageBreak/>
        <w:t>Nachrichtlose Vermögen</w:t>
      </w:r>
      <w:bookmarkEnd w:id="21"/>
    </w:p>
    <w:p w14:paraId="1BD692DA" w14:textId="77777777" w:rsidR="007C3563" w:rsidRPr="004701C4" w:rsidRDefault="007C3563" w:rsidP="00D31901">
      <w:pPr>
        <w:jc w:val="both"/>
        <w:rPr>
          <w:rFonts w:asciiTheme="majorHAnsi" w:hAnsiTheme="majorHAnsi"/>
        </w:rPr>
      </w:pPr>
      <w:r w:rsidRPr="004701C4">
        <w:rPr>
          <w:rFonts w:asciiTheme="majorHAnsi" w:hAnsiTheme="majorHAnsi"/>
        </w:rPr>
        <w:t xml:space="preserve">Es kommt vor, dass Kontakte zu Kunden abbrechen und die Vermögenswerte in der Folge nachrichtenlos werden. Solche Vermögenswerte können bei den Kunden und </w:t>
      </w:r>
      <w:r w:rsidR="00274D82" w:rsidRPr="004701C4">
        <w:rPr>
          <w:rFonts w:asciiTheme="majorHAnsi" w:hAnsiTheme="majorHAnsi"/>
        </w:rPr>
        <w:t xml:space="preserve">bei </w:t>
      </w:r>
      <w:r w:rsidRPr="004701C4">
        <w:rPr>
          <w:rFonts w:asciiTheme="majorHAnsi" w:hAnsiTheme="majorHAnsi"/>
        </w:rPr>
        <w:t>ihren Erben endgültig in Vergessenheit geraten. Zur Vermeidung von Kontaktabbruch beziehungsweise Nachrichtenlosigkeit wird Folgendes empfohlen:</w:t>
      </w:r>
    </w:p>
    <w:p w14:paraId="11CC7E41" w14:textId="647DE28E" w:rsidR="007C3563" w:rsidRPr="004701C4" w:rsidRDefault="007C3563" w:rsidP="00DC6C8B">
      <w:pPr>
        <w:pStyle w:val="Default"/>
        <w:numPr>
          <w:ilvl w:val="0"/>
          <w:numId w:val="6"/>
        </w:numPr>
        <w:spacing w:after="200" w:line="276" w:lineRule="auto"/>
        <w:jc w:val="both"/>
        <w:rPr>
          <w:rFonts w:asciiTheme="majorHAnsi" w:hAnsiTheme="majorHAnsi" w:cs="Arial"/>
          <w:b/>
          <w:sz w:val="22"/>
          <w:szCs w:val="22"/>
        </w:rPr>
      </w:pPr>
      <w:r w:rsidRPr="004701C4">
        <w:rPr>
          <w:rFonts w:asciiTheme="majorHAnsi" w:hAnsiTheme="majorHAnsi" w:cs="Arial"/>
          <w:b/>
          <w:i/>
          <w:sz w:val="22"/>
          <w:szCs w:val="22"/>
        </w:rPr>
        <w:t>Adress- und Namensänderungen:</w:t>
      </w:r>
      <w:r w:rsidRPr="004701C4">
        <w:rPr>
          <w:rFonts w:asciiTheme="majorHAnsi" w:hAnsiTheme="majorHAnsi"/>
          <w:sz w:val="22"/>
          <w:szCs w:val="22"/>
        </w:rPr>
        <w:t xml:space="preserve"> </w:t>
      </w:r>
      <w:r w:rsidRPr="004701C4">
        <w:rPr>
          <w:rFonts w:asciiTheme="majorHAnsi" w:hAnsiTheme="majorHAnsi" w:cs="Arial"/>
          <w:sz w:val="22"/>
          <w:szCs w:val="22"/>
        </w:rPr>
        <w:t xml:space="preserve">Bitte um umgehende Mitteilung bei Wohnsitz-, </w:t>
      </w:r>
      <w:proofErr w:type="spellStart"/>
      <w:r w:rsidRPr="004701C4">
        <w:rPr>
          <w:rFonts w:asciiTheme="majorHAnsi" w:hAnsiTheme="majorHAnsi" w:cs="Arial"/>
          <w:sz w:val="22"/>
          <w:szCs w:val="22"/>
        </w:rPr>
        <w:t>Anschrift</w:t>
      </w:r>
      <w:r w:rsidR="0015374E" w:rsidRPr="004701C4">
        <w:rPr>
          <w:rFonts w:asciiTheme="majorHAnsi" w:hAnsiTheme="majorHAnsi" w:cs="Arial"/>
          <w:sz w:val="22"/>
          <w:szCs w:val="22"/>
        </w:rPr>
        <w:t>s</w:t>
      </w:r>
      <w:proofErr w:type="spellEnd"/>
      <w:r w:rsidRPr="004701C4">
        <w:rPr>
          <w:rFonts w:asciiTheme="majorHAnsi" w:hAnsiTheme="majorHAnsi" w:cs="Arial"/>
          <w:sz w:val="22"/>
          <w:szCs w:val="22"/>
        </w:rPr>
        <w:t>- oder Namenswechsel.</w:t>
      </w:r>
    </w:p>
    <w:p w14:paraId="6D143AE8" w14:textId="77777777" w:rsidR="007C3563" w:rsidRPr="004701C4" w:rsidRDefault="007C3563" w:rsidP="00DC6C8B">
      <w:pPr>
        <w:pStyle w:val="Default"/>
        <w:numPr>
          <w:ilvl w:val="0"/>
          <w:numId w:val="6"/>
        </w:numPr>
        <w:spacing w:after="200" w:line="276" w:lineRule="auto"/>
        <w:jc w:val="both"/>
        <w:rPr>
          <w:rFonts w:asciiTheme="majorHAnsi" w:hAnsiTheme="majorHAnsi" w:cs="Arial"/>
          <w:sz w:val="22"/>
          <w:szCs w:val="22"/>
        </w:rPr>
      </w:pPr>
      <w:r w:rsidRPr="004701C4">
        <w:rPr>
          <w:rFonts w:asciiTheme="majorHAnsi" w:hAnsiTheme="majorHAnsi" w:cs="Arial"/>
          <w:b/>
          <w:i/>
          <w:sz w:val="22"/>
          <w:szCs w:val="22"/>
        </w:rPr>
        <w:t xml:space="preserve">Spezielle Weisungen: </w:t>
      </w:r>
      <w:r w:rsidRPr="004701C4">
        <w:rPr>
          <w:rFonts w:asciiTheme="majorHAnsi" w:hAnsiTheme="majorHAnsi" w:cs="Arial"/>
          <w:sz w:val="22"/>
          <w:szCs w:val="22"/>
        </w:rPr>
        <w:t xml:space="preserve">Bitte um Orientierung über längere Abwesenheiten und über eine allfällige Umleitung der Korrespondenz an eine Drittadresse </w:t>
      </w:r>
      <w:r w:rsidRPr="004701C4">
        <w:rPr>
          <w:rFonts w:asciiTheme="majorHAnsi" w:hAnsiTheme="majorHAnsi" w:cs="Arial"/>
          <w:color w:val="auto"/>
          <w:sz w:val="22"/>
          <w:szCs w:val="22"/>
        </w:rPr>
        <w:t>sowie über die Erreichbarkeit in dringenden Fällen während dieser Zeit.</w:t>
      </w:r>
      <w:r w:rsidRPr="004701C4">
        <w:rPr>
          <w:rFonts w:asciiTheme="majorHAnsi" w:hAnsiTheme="majorHAnsi" w:cs="Arial"/>
          <w:sz w:val="22"/>
          <w:szCs w:val="22"/>
        </w:rPr>
        <w:t xml:space="preserve"> </w:t>
      </w:r>
    </w:p>
    <w:p w14:paraId="3C24D86F" w14:textId="77777777" w:rsidR="007C3563" w:rsidRPr="004701C4" w:rsidRDefault="007C3563" w:rsidP="00DC6C8B">
      <w:pPr>
        <w:pStyle w:val="Default"/>
        <w:numPr>
          <w:ilvl w:val="0"/>
          <w:numId w:val="6"/>
        </w:numPr>
        <w:spacing w:after="200" w:line="276" w:lineRule="auto"/>
        <w:jc w:val="both"/>
        <w:rPr>
          <w:rFonts w:asciiTheme="majorHAnsi" w:hAnsiTheme="majorHAnsi" w:cs="Arial"/>
          <w:sz w:val="22"/>
          <w:szCs w:val="22"/>
        </w:rPr>
      </w:pPr>
      <w:r w:rsidRPr="004701C4">
        <w:rPr>
          <w:rFonts w:asciiTheme="majorHAnsi" w:hAnsiTheme="majorHAnsi" w:cs="Arial"/>
          <w:b/>
          <w:bCs/>
          <w:i/>
          <w:iCs/>
          <w:sz w:val="22"/>
          <w:szCs w:val="22"/>
        </w:rPr>
        <w:t>Erteilung von Vollmachten:</w:t>
      </w:r>
      <w:r w:rsidRPr="004701C4">
        <w:rPr>
          <w:rFonts w:asciiTheme="majorHAnsi" w:hAnsiTheme="majorHAnsi" w:cs="Arial"/>
          <w:sz w:val="22"/>
          <w:szCs w:val="22"/>
        </w:rPr>
        <w:t xml:space="preserve"> Es kann sich empfehlen, eine bevollmächtigte Person zu bezeichnen, an die der Vermögensverwalter im Falle eines Kontaktabbruchs herantreten kann. </w:t>
      </w:r>
    </w:p>
    <w:p w14:paraId="6C8FE16E" w14:textId="77777777" w:rsidR="007C3563" w:rsidRPr="004701C4" w:rsidRDefault="007C3563" w:rsidP="00DC6C8B">
      <w:pPr>
        <w:pStyle w:val="Default"/>
        <w:numPr>
          <w:ilvl w:val="0"/>
          <w:numId w:val="6"/>
        </w:numPr>
        <w:spacing w:after="200" w:line="276" w:lineRule="auto"/>
        <w:ind w:left="714" w:hanging="357"/>
        <w:jc w:val="both"/>
        <w:rPr>
          <w:rFonts w:asciiTheme="majorHAnsi" w:hAnsiTheme="majorHAnsi" w:cs="Arial"/>
          <w:sz w:val="22"/>
          <w:szCs w:val="22"/>
        </w:rPr>
      </w:pPr>
      <w:r w:rsidRPr="004701C4">
        <w:rPr>
          <w:rFonts w:asciiTheme="majorHAnsi" w:hAnsiTheme="majorHAnsi" w:cs="Arial"/>
          <w:b/>
          <w:bCs/>
          <w:i/>
          <w:iCs/>
          <w:sz w:val="22"/>
          <w:szCs w:val="22"/>
        </w:rPr>
        <w:t>Orientierung von Vertrauenspersonen und letztwillige Verfügung:</w:t>
      </w:r>
      <w:r w:rsidRPr="004701C4">
        <w:rPr>
          <w:rFonts w:asciiTheme="majorHAnsi" w:hAnsiTheme="majorHAnsi" w:cs="Arial"/>
          <w:sz w:val="22"/>
          <w:szCs w:val="22"/>
        </w:rPr>
        <w:t xml:space="preserve"> Eine weitere Möglichkeit zur Vermeidung von Kontakt- und Nachrichtenlosigkeit besteht darin, dass eine Vertrauensperson über die Beziehung mit dem Vermögensverwalter orientiert wird. Allerdings darf der Vermögensverwalter einer solchen Vertrauensperson nur Auskunft erteilen, wenn sie hierzu schriftlich bevollmächtigt worden ist. Ferner können die betroffenen Vermögenswerte zum Beispiel in einer letztwilligen Verfügung erwähnt werden.</w:t>
      </w:r>
    </w:p>
    <w:p w14:paraId="66C82142" w14:textId="5982F74C" w:rsidR="007C3563" w:rsidRPr="004701C4" w:rsidRDefault="007C3563" w:rsidP="00D31901">
      <w:pPr>
        <w:pStyle w:val="Default"/>
        <w:spacing w:after="200" w:line="276" w:lineRule="auto"/>
        <w:jc w:val="both"/>
        <w:rPr>
          <w:rFonts w:asciiTheme="majorHAnsi" w:hAnsiTheme="majorHAnsi" w:cs="Arial"/>
          <w:i/>
          <w:iCs/>
          <w:color w:val="auto"/>
          <w:sz w:val="20"/>
          <w:szCs w:val="20"/>
          <w:lang w:eastAsia="de-CH"/>
        </w:rPr>
      </w:pPr>
      <w:r w:rsidRPr="004701C4">
        <w:rPr>
          <w:rFonts w:asciiTheme="majorHAnsi" w:hAnsiTheme="majorHAnsi" w:cs="Arial"/>
          <w:sz w:val="22"/>
          <w:szCs w:val="22"/>
        </w:rPr>
        <w:t xml:space="preserve">Der Vermögensverwalter steht für Fragen gerne zur Verfügung. Weitere Informationen können auch der </w:t>
      </w:r>
      <w:r w:rsidRPr="004701C4">
        <w:rPr>
          <w:rFonts w:asciiTheme="majorHAnsi" w:hAnsiTheme="majorHAnsi" w:cs="Arial"/>
          <w:color w:val="auto"/>
          <w:sz w:val="22"/>
          <w:szCs w:val="22"/>
          <w:lang w:eastAsia="de-CH"/>
        </w:rPr>
        <w:t xml:space="preserve">Broschüre «Nachrichtenlose Vermögen» der Schweizerischen Bankiervereinigung entnommen werden. Die Broschüre ist im Internet abrufbar unter: </w:t>
      </w:r>
      <w:r w:rsidRPr="004701C4">
        <w:rPr>
          <w:rFonts w:asciiTheme="majorHAnsi" w:hAnsiTheme="majorHAnsi" w:cs="Arial"/>
          <w:i/>
          <w:iCs/>
          <w:color w:val="auto"/>
          <w:sz w:val="20"/>
          <w:szCs w:val="20"/>
          <w:lang w:eastAsia="de-CH"/>
        </w:rPr>
        <w:t>https://www.swissbanking.org/de/themen/informationen-fuer-privatkunden/nachrichtenlose-vermoegen/nachrichtenlose-vermoegen-faq</w:t>
      </w:r>
    </w:p>
    <w:p w14:paraId="3E4538BD" w14:textId="77777777" w:rsidR="00780C84" w:rsidRPr="004701C4" w:rsidRDefault="00274D82" w:rsidP="00A2233A">
      <w:pPr>
        <w:pStyle w:val="berschrift2"/>
        <w:ind w:left="567" w:hanging="567"/>
      </w:pPr>
      <w:bookmarkStart w:id="22" w:name="_Toc74047629"/>
      <w:r w:rsidRPr="004701C4">
        <w:t>Kundenbeschwerden /</w:t>
      </w:r>
      <w:r w:rsidR="00A2233A" w:rsidRPr="004701C4">
        <w:t xml:space="preserve"> Ombudsstelle</w:t>
      </w:r>
      <w:bookmarkEnd w:id="22"/>
    </w:p>
    <w:p w14:paraId="009E8148" w14:textId="10D9E5A6" w:rsidR="00A2233A" w:rsidRPr="004701C4" w:rsidRDefault="00274D82" w:rsidP="00D31901">
      <w:pPr>
        <w:pStyle w:val="Default"/>
        <w:spacing w:after="200" w:line="276" w:lineRule="auto"/>
        <w:jc w:val="both"/>
        <w:rPr>
          <w:rFonts w:asciiTheme="majorHAnsi" w:hAnsiTheme="majorHAnsi" w:cs="Arial"/>
          <w:sz w:val="22"/>
          <w:szCs w:val="22"/>
        </w:rPr>
      </w:pPr>
      <w:r w:rsidRPr="004701C4">
        <w:rPr>
          <w:rFonts w:asciiTheme="majorHAnsi" w:hAnsiTheme="majorHAnsi" w:cs="Arial"/>
          <w:sz w:val="22"/>
          <w:szCs w:val="22"/>
        </w:rPr>
        <w:t xml:space="preserve">Beschwerden von Kunden nimmt die Gesellschaft sehr ernst. Wir lassen Beschwerden intern durch nicht in die Geschäftsbeziehung involvierte Personen überprüfen und beurteilen. Kunden, die mit der Art und Weise der Behandlung ihrer Beschwerde oder dem Ergebnis der Beschwerdebeurteilung nicht zufrieden sind, </w:t>
      </w:r>
      <w:r w:rsidR="00A2233A" w:rsidRPr="004701C4">
        <w:rPr>
          <w:rFonts w:asciiTheme="majorHAnsi" w:hAnsiTheme="majorHAnsi" w:cs="Arial"/>
          <w:sz w:val="22"/>
          <w:szCs w:val="22"/>
        </w:rPr>
        <w:t xml:space="preserve">können ein </w:t>
      </w:r>
      <w:r w:rsidRPr="004701C4">
        <w:rPr>
          <w:rFonts w:asciiTheme="majorHAnsi" w:hAnsiTheme="majorHAnsi" w:cs="Arial"/>
          <w:sz w:val="22"/>
          <w:szCs w:val="22"/>
        </w:rPr>
        <w:t>kostenloses</w:t>
      </w:r>
      <w:r w:rsidR="00E26B85" w:rsidRPr="004701C4">
        <w:rPr>
          <w:rFonts w:asciiTheme="majorHAnsi" w:hAnsiTheme="majorHAnsi" w:cs="Arial"/>
          <w:sz w:val="22"/>
          <w:szCs w:val="22"/>
        </w:rPr>
        <w:t xml:space="preserve"> </w:t>
      </w:r>
      <w:r w:rsidR="00A2233A" w:rsidRPr="004701C4">
        <w:rPr>
          <w:rFonts w:asciiTheme="majorHAnsi" w:hAnsiTheme="majorHAnsi" w:cs="Arial"/>
          <w:sz w:val="22"/>
          <w:szCs w:val="22"/>
        </w:rPr>
        <w:t xml:space="preserve">Vermittlungsverfahren durch die </w:t>
      </w:r>
      <w:r w:rsidRPr="004701C4">
        <w:rPr>
          <w:rFonts w:asciiTheme="majorHAnsi" w:hAnsiTheme="majorHAnsi" w:cs="Arial"/>
          <w:sz w:val="22"/>
          <w:szCs w:val="22"/>
        </w:rPr>
        <w:t xml:space="preserve">für uns zuständige </w:t>
      </w:r>
      <w:r w:rsidR="00A2233A" w:rsidRPr="004701C4">
        <w:rPr>
          <w:rFonts w:asciiTheme="majorHAnsi" w:hAnsiTheme="majorHAnsi" w:cs="Arial"/>
          <w:sz w:val="22"/>
          <w:szCs w:val="22"/>
        </w:rPr>
        <w:t xml:space="preserve">Ombudsstelle einleiten. </w:t>
      </w:r>
      <w:r w:rsidRPr="004701C4">
        <w:rPr>
          <w:rFonts w:asciiTheme="majorHAnsi" w:hAnsiTheme="majorHAnsi" w:cs="Arial"/>
          <w:sz w:val="22"/>
          <w:szCs w:val="22"/>
        </w:rPr>
        <w:t>Die Gesellschaft ist der Ombudsstelle</w:t>
      </w:r>
      <w:r w:rsidR="00A2233A" w:rsidRPr="004701C4">
        <w:rPr>
          <w:rFonts w:asciiTheme="majorHAnsi" w:hAnsiTheme="majorHAnsi" w:cs="Arial"/>
          <w:sz w:val="22"/>
          <w:szCs w:val="22"/>
        </w:rPr>
        <w:t xml:space="preserve"> OFS, </w:t>
      </w:r>
      <w:proofErr w:type="spellStart"/>
      <w:r w:rsidR="00A2233A" w:rsidRPr="004701C4">
        <w:rPr>
          <w:rFonts w:asciiTheme="majorHAnsi" w:hAnsiTheme="majorHAnsi" w:cs="Arial"/>
          <w:sz w:val="22"/>
          <w:szCs w:val="22"/>
        </w:rPr>
        <w:t>Ombud</w:t>
      </w:r>
      <w:proofErr w:type="spellEnd"/>
      <w:r w:rsidR="00A2233A" w:rsidRPr="004701C4">
        <w:rPr>
          <w:rFonts w:asciiTheme="majorHAnsi" w:hAnsiTheme="majorHAnsi" w:cs="Arial"/>
          <w:sz w:val="22"/>
          <w:szCs w:val="22"/>
        </w:rPr>
        <w:t xml:space="preserve"> Finance </w:t>
      </w:r>
      <w:proofErr w:type="spellStart"/>
      <w:r w:rsidR="00A2233A" w:rsidRPr="004701C4">
        <w:rPr>
          <w:rFonts w:asciiTheme="majorHAnsi" w:hAnsiTheme="majorHAnsi" w:cs="Arial"/>
          <w:sz w:val="22"/>
          <w:szCs w:val="22"/>
        </w:rPr>
        <w:t>Switzerland</w:t>
      </w:r>
      <w:proofErr w:type="spellEnd"/>
      <w:r w:rsidR="00A2233A" w:rsidRPr="004701C4">
        <w:rPr>
          <w:rFonts w:asciiTheme="majorHAnsi" w:hAnsiTheme="majorHAnsi" w:cs="Arial"/>
          <w:sz w:val="22"/>
          <w:szCs w:val="22"/>
        </w:rPr>
        <w:t xml:space="preserve">, Rue du Conseil </w:t>
      </w:r>
      <w:proofErr w:type="spellStart"/>
      <w:r w:rsidR="00A2233A" w:rsidRPr="004701C4">
        <w:rPr>
          <w:rFonts w:asciiTheme="majorHAnsi" w:hAnsiTheme="majorHAnsi" w:cs="Arial"/>
          <w:sz w:val="22"/>
          <w:szCs w:val="22"/>
        </w:rPr>
        <w:t>Général</w:t>
      </w:r>
      <w:proofErr w:type="spellEnd"/>
      <w:r w:rsidR="00A2233A" w:rsidRPr="004701C4">
        <w:rPr>
          <w:rFonts w:asciiTheme="majorHAnsi" w:hAnsiTheme="majorHAnsi" w:cs="Arial"/>
          <w:sz w:val="22"/>
          <w:szCs w:val="22"/>
        </w:rPr>
        <w:t xml:space="preserve"> 10, 1205 Genf</w:t>
      </w:r>
      <w:r w:rsidR="00A86E95" w:rsidRPr="004701C4">
        <w:rPr>
          <w:rFonts w:asciiTheme="majorHAnsi" w:hAnsiTheme="majorHAnsi" w:cs="Arial"/>
          <w:sz w:val="22"/>
          <w:szCs w:val="22"/>
        </w:rPr>
        <w:t>.</w:t>
      </w:r>
      <w:r w:rsidRPr="004701C4">
        <w:rPr>
          <w:rFonts w:asciiTheme="majorHAnsi" w:hAnsiTheme="majorHAnsi" w:cs="Arial"/>
          <w:sz w:val="22"/>
          <w:szCs w:val="22"/>
        </w:rPr>
        <w:t>, angeschlossen.</w:t>
      </w:r>
      <w:r w:rsidR="00E26B85" w:rsidRPr="004701C4">
        <w:rPr>
          <w:rFonts w:asciiTheme="majorHAnsi" w:hAnsiTheme="majorHAnsi" w:cs="Arial"/>
          <w:sz w:val="22"/>
          <w:szCs w:val="22"/>
        </w:rPr>
        <w:t xml:space="preserve"> </w:t>
      </w:r>
      <w:proofErr w:type="spellStart"/>
      <w:r w:rsidR="00E26B85" w:rsidRPr="004701C4">
        <w:rPr>
          <w:rFonts w:asciiTheme="majorHAnsi" w:hAnsiTheme="majorHAnsi" w:cs="Arial"/>
          <w:sz w:val="22"/>
          <w:szCs w:val="22"/>
        </w:rPr>
        <w:t>Ombudsverfahren</w:t>
      </w:r>
      <w:proofErr w:type="spellEnd"/>
      <w:r w:rsidR="00E26B85" w:rsidRPr="004701C4">
        <w:rPr>
          <w:rFonts w:asciiTheme="majorHAnsi" w:hAnsiTheme="majorHAnsi" w:cs="Arial"/>
          <w:sz w:val="22"/>
          <w:szCs w:val="22"/>
        </w:rPr>
        <w:t xml:space="preserve"> können in</w:t>
      </w:r>
      <w:r w:rsidRPr="004701C4">
        <w:rPr>
          <w:rFonts w:asciiTheme="majorHAnsi" w:hAnsiTheme="majorHAnsi" w:cs="Arial"/>
          <w:sz w:val="22"/>
          <w:szCs w:val="22"/>
        </w:rPr>
        <w:t xml:space="preserve"> deutscher, französischer, italienischer oder englischer Sprache geführt werden.</w:t>
      </w:r>
      <w:r w:rsidR="00A86E95" w:rsidRPr="004701C4">
        <w:rPr>
          <w:rFonts w:asciiTheme="majorHAnsi" w:hAnsiTheme="majorHAnsi" w:cs="Arial"/>
          <w:sz w:val="22"/>
          <w:szCs w:val="22"/>
        </w:rPr>
        <w:t xml:space="preserve"> </w:t>
      </w:r>
    </w:p>
    <w:p w14:paraId="5BD259BB" w14:textId="77777777" w:rsidR="00A2233A" w:rsidRPr="004701C4" w:rsidRDefault="00A2233A" w:rsidP="00A2233A">
      <w:pPr>
        <w:pStyle w:val="berschrift2"/>
        <w:ind w:left="567"/>
      </w:pPr>
      <w:r w:rsidRPr="004701C4">
        <w:t xml:space="preserve"> </w:t>
      </w:r>
      <w:bookmarkStart w:id="23" w:name="_Toc74047630"/>
      <w:r w:rsidRPr="004701C4">
        <w:t>Weitere Informationen</w:t>
      </w:r>
      <w:bookmarkEnd w:id="23"/>
    </w:p>
    <w:p w14:paraId="2FC94C14" w14:textId="7B108DFD" w:rsidR="00780C84" w:rsidRPr="004701C4" w:rsidRDefault="00A2233A" w:rsidP="00484927">
      <w:pPr>
        <w:jc w:val="both"/>
        <w:rPr>
          <w:rFonts w:asciiTheme="majorHAnsi" w:hAnsiTheme="majorHAnsi"/>
        </w:rPr>
      </w:pPr>
      <w:r w:rsidRPr="004701C4">
        <w:rPr>
          <w:rFonts w:asciiTheme="majorHAnsi" w:hAnsiTheme="majorHAnsi" w:cs="Arial"/>
        </w:rPr>
        <w:t>Weitere Informationen zu möglichen Interessenkonflikten im Zusammenhang mit den Dienstleistungen, welche der Vermögensverwalter erbringt, und die zum Schutz des Kunden ergriffenen Vorkehrungen stellt Ihnen gerne der Vermögensverwalter auf Wunsch zur Verfügung</w:t>
      </w:r>
      <w:r w:rsidR="00DE6E9C" w:rsidRPr="004701C4">
        <w:rPr>
          <w:rFonts w:asciiTheme="majorHAnsi" w:hAnsiTheme="majorHAnsi" w:cs="Arial"/>
        </w:rPr>
        <w:t>.</w:t>
      </w:r>
    </w:p>
    <w:p w14:paraId="587864D8" w14:textId="77777777" w:rsidR="00780C84" w:rsidRPr="004701C4" w:rsidRDefault="00780C84" w:rsidP="00484927">
      <w:pPr>
        <w:jc w:val="both"/>
        <w:rPr>
          <w:rFonts w:asciiTheme="majorHAnsi" w:hAnsiTheme="majorHAnsi"/>
        </w:rPr>
      </w:pPr>
    </w:p>
    <w:sectPr w:rsidR="00780C84" w:rsidRPr="004701C4" w:rsidSect="003837EE">
      <w:headerReference w:type="default" r:id="rId11"/>
      <w:footerReference w:type="default" r:id="rId12"/>
      <w:pgSz w:w="11906" w:h="16838" w:code="9"/>
      <w:pgMar w:top="1985" w:right="1418" w:bottom="1418" w:left="1418" w:header="28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AC158" w14:textId="77777777" w:rsidR="003837EE" w:rsidRDefault="003837EE" w:rsidP="00B10F1C">
      <w:pPr>
        <w:spacing w:after="0" w:line="240" w:lineRule="auto"/>
      </w:pPr>
      <w:r>
        <w:separator/>
      </w:r>
    </w:p>
  </w:endnote>
  <w:endnote w:type="continuationSeparator" w:id="0">
    <w:p w14:paraId="45E90B86" w14:textId="77777777" w:rsidR="003837EE" w:rsidRDefault="003837EE" w:rsidP="00B10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050959013"/>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D829484" w14:textId="6C28F083" w:rsidR="00430AAE" w:rsidRPr="009012A8" w:rsidRDefault="00430AAE">
            <w:pPr>
              <w:pStyle w:val="Fuzeile"/>
              <w:jc w:val="right"/>
              <w:rPr>
                <w:sz w:val="16"/>
                <w:szCs w:val="16"/>
              </w:rPr>
            </w:pPr>
            <w:r w:rsidRPr="009012A8">
              <w:rPr>
                <w:noProof/>
                <w:sz w:val="16"/>
                <w:szCs w:val="16"/>
                <w:lang w:eastAsia="de-CH"/>
              </w:rPr>
              <mc:AlternateContent>
                <mc:Choice Requires="wps">
                  <w:drawing>
                    <wp:anchor distT="0" distB="0" distL="114300" distR="114300" simplePos="0" relativeHeight="251657728" behindDoc="0" locked="0" layoutInCell="1" allowOverlap="1" wp14:anchorId="47A1B671" wp14:editId="21E0EFBC">
                      <wp:simplePos x="0" y="0"/>
                      <wp:positionH relativeFrom="column">
                        <wp:posOffset>-147955</wp:posOffset>
                      </wp:positionH>
                      <wp:positionV relativeFrom="paragraph">
                        <wp:posOffset>-28575</wp:posOffset>
                      </wp:positionV>
                      <wp:extent cx="1905000" cy="352425"/>
                      <wp:effectExtent l="0" t="0" r="0" b="9525"/>
                      <wp:wrapNone/>
                      <wp:docPr id="2" name="Textfeld 2"/>
                      <wp:cNvGraphicFramePr/>
                      <a:graphic xmlns:a="http://schemas.openxmlformats.org/drawingml/2006/main">
                        <a:graphicData uri="http://schemas.microsoft.com/office/word/2010/wordprocessingShape">
                          <wps:wsp>
                            <wps:cNvSpPr txBox="1"/>
                            <wps:spPr>
                              <a:xfrm>
                                <a:off x="0" y="0"/>
                                <a:ext cx="1905000" cy="352425"/>
                              </a:xfrm>
                              <a:prstGeom prst="rect">
                                <a:avLst/>
                              </a:prstGeom>
                              <a:solidFill>
                                <a:schemeClr val="lt1"/>
                              </a:solidFill>
                              <a:ln w="6350">
                                <a:noFill/>
                              </a:ln>
                            </wps:spPr>
                            <wps:txbx>
                              <w:txbxContent>
                                <w:p w14:paraId="163BFD0C" w14:textId="21D234DC" w:rsidR="00430AAE" w:rsidRPr="009012A8" w:rsidRDefault="00430AAE">
                                  <w:pPr>
                                    <w:rPr>
                                      <w:sz w:val="16"/>
                                      <w:szCs w:val="16"/>
                                    </w:rPr>
                                  </w:pPr>
                                  <w:r w:rsidRPr="009012A8">
                                    <w:rPr>
                                      <w:sz w:val="16"/>
                                      <w:szCs w:val="16"/>
                                    </w:rPr>
                                    <w:t xml:space="preserve">Stand </w:t>
                                  </w:r>
                                  <w:r w:rsidR="001067B9">
                                    <w:rPr>
                                      <w:sz w:val="16"/>
                                      <w:szCs w:val="16"/>
                                    </w:rPr>
                                    <w:t>0</w:t>
                                  </w:r>
                                  <w:r w:rsidR="007D02F3">
                                    <w:rPr>
                                      <w:sz w:val="16"/>
                                      <w:szCs w:val="16"/>
                                    </w:rPr>
                                    <w:t>1.2.2024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A1B671" id="_x0000_t202" coordsize="21600,21600" o:spt="202" path="m,l,21600r21600,l21600,xe">
                      <v:stroke joinstyle="miter"/>
                      <v:path gradientshapeok="t" o:connecttype="rect"/>
                    </v:shapetype>
                    <v:shape id="Textfeld 2" o:spid="_x0000_s1026" type="#_x0000_t202" style="position:absolute;left:0;text-align:left;margin-left:-11.65pt;margin-top:-2.25pt;width:150pt;height:27.7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" fillcolor="white [3201]" stroked="f" strokeweight=".5pt">
                      <v:textbox>
                        <w:txbxContent>
                          <w:p w14:paraId="163BFD0C" w14:textId="21D234DC" w:rsidR="00430AAE" w:rsidRPr="009012A8" w:rsidRDefault="00430AAE">
                            <w:pPr>
                              <w:rPr>
                                <w:sz w:val="16"/>
                                <w:szCs w:val="16"/>
                              </w:rPr>
                            </w:pPr>
                            <w:r w:rsidRPr="009012A8">
                              <w:rPr>
                                <w:sz w:val="16"/>
                                <w:szCs w:val="16"/>
                              </w:rPr>
                              <w:t xml:space="preserve">Stand </w:t>
                            </w:r>
                            <w:r w:rsidR="001067B9">
                              <w:rPr>
                                <w:sz w:val="16"/>
                                <w:szCs w:val="16"/>
                              </w:rPr>
                              <w:t>0</w:t>
                            </w:r>
                            <w:r w:rsidR="007D02F3">
                              <w:rPr>
                                <w:sz w:val="16"/>
                                <w:szCs w:val="16"/>
                              </w:rPr>
                              <w:t>1.2.2024</w:t>
                            </w:r>
                          </w:p>
                        </w:txbxContent>
                      </v:textbox>
                    </v:shape>
                  </w:pict>
                </mc:Fallback>
              </mc:AlternateContent>
            </w:r>
            <w:r w:rsidRPr="009012A8">
              <w:rPr>
                <w:sz w:val="16"/>
                <w:szCs w:val="16"/>
              </w:rPr>
              <w:fldChar w:fldCharType="begin"/>
            </w:r>
            <w:r w:rsidRPr="009012A8">
              <w:rPr>
                <w:sz w:val="16"/>
                <w:szCs w:val="16"/>
              </w:rPr>
              <w:instrText>PAGE</w:instrText>
            </w:r>
            <w:r w:rsidRPr="009012A8">
              <w:rPr>
                <w:sz w:val="16"/>
                <w:szCs w:val="16"/>
              </w:rPr>
              <w:fldChar w:fldCharType="separate"/>
            </w:r>
            <w:r w:rsidR="00DC6C8B">
              <w:rPr>
                <w:noProof/>
                <w:sz w:val="16"/>
                <w:szCs w:val="16"/>
              </w:rPr>
              <w:t>11</w:t>
            </w:r>
            <w:r w:rsidRPr="009012A8">
              <w:rPr>
                <w:sz w:val="16"/>
                <w:szCs w:val="16"/>
              </w:rPr>
              <w:fldChar w:fldCharType="end"/>
            </w:r>
            <w:r w:rsidRPr="009012A8">
              <w:rPr>
                <w:sz w:val="16"/>
                <w:szCs w:val="16"/>
              </w:rPr>
              <w:t>/</w:t>
            </w:r>
            <w:r w:rsidRPr="009012A8">
              <w:rPr>
                <w:sz w:val="16"/>
                <w:szCs w:val="16"/>
                <w:lang w:val="de-DE"/>
              </w:rPr>
              <w:t xml:space="preserve"> </w:t>
            </w:r>
            <w:r w:rsidRPr="009012A8">
              <w:rPr>
                <w:sz w:val="16"/>
                <w:szCs w:val="16"/>
              </w:rPr>
              <w:fldChar w:fldCharType="begin"/>
            </w:r>
            <w:r w:rsidRPr="009012A8">
              <w:rPr>
                <w:sz w:val="16"/>
                <w:szCs w:val="16"/>
              </w:rPr>
              <w:instrText>NUMPAGES</w:instrText>
            </w:r>
            <w:r w:rsidRPr="009012A8">
              <w:rPr>
                <w:sz w:val="16"/>
                <w:szCs w:val="16"/>
              </w:rPr>
              <w:fldChar w:fldCharType="separate"/>
            </w:r>
            <w:r w:rsidR="00DC6C8B">
              <w:rPr>
                <w:noProof/>
                <w:sz w:val="16"/>
                <w:szCs w:val="16"/>
              </w:rPr>
              <w:t>11</w:t>
            </w:r>
            <w:r w:rsidRPr="009012A8">
              <w:rPr>
                <w:sz w:val="16"/>
                <w:szCs w:val="16"/>
              </w:rPr>
              <w:fldChar w:fldCharType="end"/>
            </w:r>
          </w:p>
        </w:sdtContent>
      </w:sdt>
    </w:sdtContent>
  </w:sdt>
  <w:p w14:paraId="25886784" w14:textId="77777777" w:rsidR="00430AAE" w:rsidRPr="006A2590" w:rsidRDefault="00430AAE" w:rsidP="009012A8">
    <w:pPr>
      <w:pStyle w:val="Fuzeile"/>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E9109" w14:textId="77777777" w:rsidR="003837EE" w:rsidRDefault="003837EE" w:rsidP="00B10F1C">
      <w:pPr>
        <w:spacing w:after="0" w:line="240" w:lineRule="auto"/>
      </w:pPr>
      <w:r>
        <w:separator/>
      </w:r>
    </w:p>
  </w:footnote>
  <w:footnote w:type="continuationSeparator" w:id="0">
    <w:p w14:paraId="4A7C61D5" w14:textId="77777777" w:rsidR="003837EE" w:rsidRDefault="003837EE" w:rsidP="00B10F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D28BA" w14:textId="25C69915" w:rsidR="00430AAE" w:rsidRDefault="00430AAE" w:rsidP="00205C08">
    <w:pPr>
      <w:pStyle w:val="Kopfzeile"/>
      <w:tabs>
        <w:tab w:val="clear" w:pos="4536"/>
      </w:tabs>
    </w:pPr>
    <w:r>
      <w:rPr>
        <w:noProof/>
        <w:lang w:eastAsia="de-CH"/>
      </w:rPr>
      <w:drawing>
        <wp:anchor distT="0" distB="0" distL="114300" distR="114300" simplePos="0" relativeHeight="251656704" behindDoc="1" locked="0" layoutInCell="1" allowOverlap="1" wp14:anchorId="578A053A" wp14:editId="64F76FEA">
          <wp:simplePos x="0" y="0"/>
          <wp:positionH relativeFrom="column">
            <wp:posOffset>-509905</wp:posOffset>
          </wp:positionH>
          <wp:positionV relativeFrom="paragraph">
            <wp:posOffset>6985</wp:posOffset>
          </wp:positionV>
          <wp:extent cx="1724025" cy="969010"/>
          <wp:effectExtent l="0" t="0" r="9525" b="2540"/>
          <wp:wrapTight wrapText="bothSides">
            <wp:wrapPolygon edited="0">
              <wp:start x="0" y="0"/>
              <wp:lineTo x="0" y="21232"/>
              <wp:lineTo x="21481" y="21232"/>
              <wp:lineTo x="2148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9690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66B9"/>
    <w:multiLevelType w:val="hybridMultilevel"/>
    <w:tmpl w:val="6058A3AE"/>
    <w:lvl w:ilvl="0" w:tplc="7B0E4B5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0D2276E"/>
    <w:multiLevelType w:val="multilevel"/>
    <w:tmpl w:val="737E0DA0"/>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lowerLetter"/>
      <w:lvlText w:val="%5)"/>
      <w:lvlJc w:val="left"/>
      <w:pPr>
        <w:tabs>
          <w:tab w:val="num" w:pos="595"/>
        </w:tabs>
        <w:ind w:left="595" w:hanging="595"/>
      </w:pPr>
    </w:lvl>
    <w:lvl w:ilvl="5">
      <w:start w:val="1"/>
      <w:numFmt w:val="lowerRoman"/>
      <w:lvlText w:val="%6)"/>
      <w:lvlJc w:val="left"/>
      <w:pPr>
        <w:tabs>
          <w:tab w:val="num" w:pos="595"/>
        </w:tabs>
        <w:ind w:left="595" w:hanging="595"/>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38C7738B"/>
    <w:multiLevelType w:val="hybridMultilevel"/>
    <w:tmpl w:val="927C42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2525F10"/>
    <w:multiLevelType w:val="hybridMultilevel"/>
    <w:tmpl w:val="A5FC2100"/>
    <w:lvl w:ilvl="0" w:tplc="74DA35F6">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DE82709"/>
    <w:multiLevelType w:val="multilevel"/>
    <w:tmpl w:val="11E00762"/>
    <w:lvl w:ilvl="0">
      <w:start w:val="1"/>
      <w:numFmt w:val="decimal"/>
      <w:pStyle w:val="berschrift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2"/>
      <w:lvlText w:val="%1.%2"/>
      <w:lvlJc w:val="left"/>
      <w:pPr>
        <w:ind w:left="860" w:hanging="576"/>
      </w:pPr>
      <w:rPr>
        <w:b/>
        <w:bCs/>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5" w15:restartNumberingAfterBreak="0">
    <w:nsid w:val="7639400A"/>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sz w:val="20"/>
        <w:szCs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B7A39CD"/>
    <w:multiLevelType w:val="hybridMultilevel"/>
    <w:tmpl w:val="110EACD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2139763874">
    <w:abstractNumId w:val="6"/>
  </w:num>
  <w:num w:numId="2" w16cid:durableId="2009821904">
    <w:abstractNumId w:val="0"/>
  </w:num>
  <w:num w:numId="3" w16cid:durableId="584654888">
    <w:abstractNumId w:val="5"/>
  </w:num>
  <w:num w:numId="4" w16cid:durableId="755442365">
    <w:abstractNumId w:val="1"/>
  </w:num>
  <w:num w:numId="5" w16cid:durableId="595138182">
    <w:abstractNumId w:val="4"/>
  </w:num>
  <w:num w:numId="6" w16cid:durableId="1762413720">
    <w:abstractNumId w:val="3"/>
  </w:num>
  <w:num w:numId="7" w16cid:durableId="542331301">
    <w:abstractNumId w:val="2"/>
  </w:num>
  <w:num w:numId="8" w16cid:durableId="1018122540">
    <w:abstractNumId w:val="4"/>
  </w:num>
  <w:num w:numId="9" w16cid:durableId="21110466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709609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896"/>
    <w:rsid w:val="000100CE"/>
    <w:rsid w:val="00017B42"/>
    <w:rsid w:val="00027DBE"/>
    <w:rsid w:val="00054B40"/>
    <w:rsid w:val="00054B5C"/>
    <w:rsid w:val="00055423"/>
    <w:rsid w:val="0006383F"/>
    <w:rsid w:val="00074F19"/>
    <w:rsid w:val="00075594"/>
    <w:rsid w:val="000B6632"/>
    <w:rsid w:val="000B7C05"/>
    <w:rsid w:val="000C7CBF"/>
    <w:rsid w:val="000E7C62"/>
    <w:rsid w:val="00100896"/>
    <w:rsid w:val="001067B9"/>
    <w:rsid w:val="00117825"/>
    <w:rsid w:val="0015374E"/>
    <w:rsid w:val="00160155"/>
    <w:rsid w:val="0018037D"/>
    <w:rsid w:val="00184A64"/>
    <w:rsid w:val="001A1A90"/>
    <w:rsid w:val="002005F8"/>
    <w:rsid w:val="00205C08"/>
    <w:rsid w:val="0024241E"/>
    <w:rsid w:val="002461A8"/>
    <w:rsid w:val="00261748"/>
    <w:rsid w:val="00274D82"/>
    <w:rsid w:val="00275852"/>
    <w:rsid w:val="0028336C"/>
    <w:rsid w:val="002A6126"/>
    <w:rsid w:val="002C007B"/>
    <w:rsid w:val="002C2153"/>
    <w:rsid w:val="002C36F1"/>
    <w:rsid w:val="002C4D79"/>
    <w:rsid w:val="002C661F"/>
    <w:rsid w:val="002D393B"/>
    <w:rsid w:val="002E2A86"/>
    <w:rsid w:val="00356296"/>
    <w:rsid w:val="003837EE"/>
    <w:rsid w:val="003908E0"/>
    <w:rsid w:val="003A2CC0"/>
    <w:rsid w:val="003C3A98"/>
    <w:rsid w:val="003D0CF8"/>
    <w:rsid w:val="003F7830"/>
    <w:rsid w:val="00404487"/>
    <w:rsid w:val="00405409"/>
    <w:rsid w:val="00430AAE"/>
    <w:rsid w:val="00463520"/>
    <w:rsid w:val="004701C4"/>
    <w:rsid w:val="004731BB"/>
    <w:rsid w:val="00475E4F"/>
    <w:rsid w:val="00477F35"/>
    <w:rsid w:val="00484927"/>
    <w:rsid w:val="0048492D"/>
    <w:rsid w:val="00485004"/>
    <w:rsid w:val="004B1ECE"/>
    <w:rsid w:val="004C1EDA"/>
    <w:rsid w:val="004D078A"/>
    <w:rsid w:val="004E6670"/>
    <w:rsid w:val="005171BB"/>
    <w:rsid w:val="00520A64"/>
    <w:rsid w:val="0055162C"/>
    <w:rsid w:val="005528D5"/>
    <w:rsid w:val="0059644E"/>
    <w:rsid w:val="005D3052"/>
    <w:rsid w:val="00632F66"/>
    <w:rsid w:val="00642ED8"/>
    <w:rsid w:val="00665AD5"/>
    <w:rsid w:val="006A2590"/>
    <w:rsid w:val="006A67F1"/>
    <w:rsid w:val="006B5BD4"/>
    <w:rsid w:val="006F402A"/>
    <w:rsid w:val="00712406"/>
    <w:rsid w:val="00714BBC"/>
    <w:rsid w:val="00721288"/>
    <w:rsid w:val="00780C84"/>
    <w:rsid w:val="00794089"/>
    <w:rsid w:val="007A2E5C"/>
    <w:rsid w:val="007A5B6E"/>
    <w:rsid w:val="007C3563"/>
    <w:rsid w:val="007D02F3"/>
    <w:rsid w:val="007D0381"/>
    <w:rsid w:val="0082022E"/>
    <w:rsid w:val="008510DF"/>
    <w:rsid w:val="00877C2E"/>
    <w:rsid w:val="008818BC"/>
    <w:rsid w:val="008B4AC4"/>
    <w:rsid w:val="008D0D24"/>
    <w:rsid w:val="008E0F76"/>
    <w:rsid w:val="008F3429"/>
    <w:rsid w:val="008F7135"/>
    <w:rsid w:val="009012A8"/>
    <w:rsid w:val="009219DB"/>
    <w:rsid w:val="0093307F"/>
    <w:rsid w:val="009361CC"/>
    <w:rsid w:val="00941AB6"/>
    <w:rsid w:val="00952054"/>
    <w:rsid w:val="00983D9F"/>
    <w:rsid w:val="009A13AA"/>
    <w:rsid w:val="009A38BB"/>
    <w:rsid w:val="00A2233A"/>
    <w:rsid w:val="00A6680D"/>
    <w:rsid w:val="00A77ED9"/>
    <w:rsid w:val="00A86E95"/>
    <w:rsid w:val="00AC61A8"/>
    <w:rsid w:val="00AF5745"/>
    <w:rsid w:val="00B10F1C"/>
    <w:rsid w:val="00B3589C"/>
    <w:rsid w:val="00B44A5B"/>
    <w:rsid w:val="00B901C0"/>
    <w:rsid w:val="00B94828"/>
    <w:rsid w:val="00BA21CD"/>
    <w:rsid w:val="00BB56FF"/>
    <w:rsid w:val="00BD0643"/>
    <w:rsid w:val="00BF0AD6"/>
    <w:rsid w:val="00C06493"/>
    <w:rsid w:val="00C24BC6"/>
    <w:rsid w:val="00C55D1B"/>
    <w:rsid w:val="00C856AD"/>
    <w:rsid w:val="00C92876"/>
    <w:rsid w:val="00CA5308"/>
    <w:rsid w:val="00CC66FC"/>
    <w:rsid w:val="00CD00B9"/>
    <w:rsid w:val="00D04E80"/>
    <w:rsid w:val="00D158FA"/>
    <w:rsid w:val="00D31901"/>
    <w:rsid w:val="00D72299"/>
    <w:rsid w:val="00D72D0D"/>
    <w:rsid w:val="00D86497"/>
    <w:rsid w:val="00DC6C8B"/>
    <w:rsid w:val="00DE1B07"/>
    <w:rsid w:val="00DE6E9C"/>
    <w:rsid w:val="00E152F2"/>
    <w:rsid w:val="00E2272D"/>
    <w:rsid w:val="00E26B85"/>
    <w:rsid w:val="00E449A2"/>
    <w:rsid w:val="00E5453A"/>
    <w:rsid w:val="00E712EB"/>
    <w:rsid w:val="00E71372"/>
    <w:rsid w:val="00E7600F"/>
    <w:rsid w:val="00E80FEF"/>
    <w:rsid w:val="00E82EF5"/>
    <w:rsid w:val="00E846BD"/>
    <w:rsid w:val="00E86BE9"/>
    <w:rsid w:val="00EA2126"/>
    <w:rsid w:val="00EA3B19"/>
    <w:rsid w:val="00EA59AD"/>
    <w:rsid w:val="00EC0994"/>
    <w:rsid w:val="00ED3693"/>
    <w:rsid w:val="00EF25D8"/>
    <w:rsid w:val="00EF58E8"/>
    <w:rsid w:val="00F10E72"/>
    <w:rsid w:val="00F32AB5"/>
    <w:rsid w:val="00F33976"/>
    <w:rsid w:val="00F459F7"/>
    <w:rsid w:val="00F512DA"/>
    <w:rsid w:val="00F524E6"/>
    <w:rsid w:val="00F8294B"/>
    <w:rsid w:val="00F96262"/>
    <w:rsid w:val="00FB7310"/>
    <w:rsid w:val="00FC0107"/>
    <w:rsid w:val="00FC2AFD"/>
    <w:rsid w:val="00FF414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93AE89"/>
  <w15:docId w15:val="{7BF57469-7F36-462B-AD21-52576D9E1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5528D5"/>
    <w:pPr>
      <w:keepNext/>
      <w:keepLines/>
      <w:numPr>
        <w:numId w:val="5"/>
      </w:numPr>
      <w:tabs>
        <w:tab w:val="center" w:pos="4139"/>
      </w:tabs>
      <w:spacing w:before="280" w:after="140" w:line="288" w:lineRule="auto"/>
      <w:outlineLvl w:val="0"/>
    </w:pPr>
    <w:rPr>
      <w:rFonts w:asciiTheme="majorHAnsi" w:eastAsia="Times New Roman" w:hAnsiTheme="majorHAnsi" w:cs="Arial"/>
      <w:b/>
      <w:bCs/>
      <w:kern w:val="32"/>
      <w:sz w:val="36"/>
      <w:szCs w:val="32"/>
      <w:lang w:eastAsia="de-DE"/>
    </w:rPr>
  </w:style>
  <w:style w:type="paragraph" w:styleId="berschrift2">
    <w:name w:val="heading 2"/>
    <w:basedOn w:val="berschrift1"/>
    <w:next w:val="Standard"/>
    <w:link w:val="berschrift2Zchn"/>
    <w:qFormat/>
    <w:rsid w:val="005528D5"/>
    <w:pPr>
      <w:numPr>
        <w:ilvl w:val="1"/>
      </w:numPr>
      <w:tabs>
        <w:tab w:val="clear" w:pos="4139"/>
      </w:tabs>
      <w:spacing w:before="420" w:after="0"/>
      <w:outlineLvl w:val="1"/>
    </w:pPr>
    <w:rPr>
      <w:bCs w:val="0"/>
      <w:iCs/>
      <w:sz w:val="28"/>
      <w:szCs w:val="28"/>
    </w:rPr>
  </w:style>
  <w:style w:type="paragraph" w:styleId="berschrift3">
    <w:name w:val="heading 3"/>
    <w:basedOn w:val="berschrift1"/>
    <w:next w:val="Standard"/>
    <w:link w:val="berschrift3Zchn"/>
    <w:qFormat/>
    <w:rsid w:val="00B44A5B"/>
    <w:pPr>
      <w:numPr>
        <w:ilvl w:val="2"/>
      </w:numPr>
      <w:tabs>
        <w:tab w:val="clear" w:pos="4139"/>
      </w:tabs>
      <w:spacing w:before="420" w:after="0"/>
      <w:outlineLvl w:val="2"/>
    </w:pPr>
    <w:rPr>
      <w:bCs w:val="0"/>
      <w:sz w:val="24"/>
      <w:szCs w:val="26"/>
    </w:rPr>
  </w:style>
  <w:style w:type="paragraph" w:styleId="berschrift4">
    <w:name w:val="heading 4"/>
    <w:basedOn w:val="berschrift1"/>
    <w:next w:val="Standard"/>
    <w:link w:val="berschrift4Zchn"/>
    <w:qFormat/>
    <w:rsid w:val="00C856AD"/>
    <w:pPr>
      <w:numPr>
        <w:ilvl w:val="3"/>
      </w:numPr>
      <w:tabs>
        <w:tab w:val="clear" w:pos="4139"/>
      </w:tabs>
      <w:spacing w:after="0"/>
      <w:outlineLvl w:val="3"/>
    </w:pPr>
    <w:rPr>
      <w:b w:val="0"/>
      <w:bCs w:val="0"/>
      <w:sz w:val="20"/>
      <w:szCs w:val="28"/>
    </w:rPr>
  </w:style>
  <w:style w:type="paragraph" w:styleId="berschrift5">
    <w:name w:val="heading 5"/>
    <w:basedOn w:val="berschrift1"/>
    <w:next w:val="Standard"/>
    <w:link w:val="berschrift5Zchn"/>
    <w:qFormat/>
    <w:rsid w:val="00C856AD"/>
    <w:pPr>
      <w:numPr>
        <w:ilvl w:val="4"/>
      </w:numPr>
      <w:tabs>
        <w:tab w:val="clear" w:pos="4139"/>
      </w:tabs>
      <w:spacing w:after="0"/>
      <w:outlineLvl w:val="4"/>
    </w:pPr>
    <w:rPr>
      <w:b w:val="0"/>
      <w:bCs w:val="0"/>
      <w:iCs/>
      <w:sz w:val="20"/>
      <w:szCs w:val="26"/>
    </w:rPr>
  </w:style>
  <w:style w:type="paragraph" w:styleId="berschrift6">
    <w:name w:val="heading 6"/>
    <w:basedOn w:val="berschrift1"/>
    <w:next w:val="Standard"/>
    <w:link w:val="berschrift6Zchn"/>
    <w:qFormat/>
    <w:rsid w:val="00C856AD"/>
    <w:pPr>
      <w:numPr>
        <w:ilvl w:val="5"/>
      </w:numPr>
      <w:tabs>
        <w:tab w:val="clear" w:pos="4139"/>
      </w:tabs>
      <w:spacing w:after="0"/>
      <w:outlineLvl w:val="5"/>
    </w:pPr>
    <w:rPr>
      <w:b w:val="0"/>
      <w:bCs w:val="0"/>
      <w:sz w:val="20"/>
      <w:szCs w:val="22"/>
    </w:rPr>
  </w:style>
  <w:style w:type="paragraph" w:styleId="berschrift7">
    <w:name w:val="heading 7"/>
    <w:basedOn w:val="berschrift1"/>
    <w:next w:val="Standard"/>
    <w:link w:val="berschrift7Zchn"/>
    <w:qFormat/>
    <w:rsid w:val="00C856AD"/>
    <w:pPr>
      <w:numPr>
        <w:ilvl w:val="6"/>
      </w:numPr>
      <w:tabs>
        <w:tab w:val="clear" w:pos="4139"/>
      </w:tabs>
      <w:spacing w:after="0"/>
      <w:outlineLvl w:val="6"/>
    </w:pPr>
    <w:rPr>
      <w:b w:val="0"/>
      <w:sz w:val="20"/>
    </w:rPr>
  </w:style>
  <w:style w:type="paragraph" w:styleId="berschrift8">
    <w:name w:val="heading 8"/>
    <w:basedOn w:val="berschrift1"/>
    <w:next w:val="Standard"/>
    <w:link w:val="berschrift8Zchn"/>
    <w:qFormat/>
    <w:rsid w:val="00C856AD"/>
    <w:pPr>
      <w:numPr>
        <w:ilvl w:val="7"/>
      </w:numPr>
      <w:tabs>
        <w:tab w:val="clear" w:pos="4139"/>
      </w:tabs>
      <w:spacing w:after="0"/>
      <w:outlineLvl w:val="7"/>
    </w:pPr>
    <w:rPr>
      <w:b w:val="0"/>
      <w:iCs/>
      <w:sz w:val="20"/>
    </w:rPr>
  </w:style>
  <w:style w:type="paragraph" w:styleId="berschrift9">
    <w:name w:val="heading 9"/>
    <w:basedOn w:val="berschrift1"/>
    <w:next w:val="Standard"/>
    <w:link w:val="berschrift9Zchn"/>
    <w:qFormat/>
    <w:rsid w:val="00C856AD"/>
    <w:pPr>
      <w:numPr>
        <w:ilvl w:val="8"/>
      </w:numPr>
      <w:tabs>
        <w:tab w:val="clear" w:pos="4139"/>
      </w:tabs>
      <w:spacing w:after="0"/>
      <w:outlineLvl w:val="8"/>
    </w:pPr>
    <w:rPr>
      <w:b w:val="0"/>
      <w:sz w:val="2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00896"/>
    <w:pPr>
      <w:ind w:left="720"/>
      <w:contextualSpacing/>
    </w:pPr>
  </w:style>
  <w:style w:type="paragraph" w:styleId="Kopfzeile">
    <w:name w:val="header"/>
    <w:basedOn w:val="Standard"/>
    <w:link w:val="KopfzeileZchn"/>
    <w:uiPriority w:val="99"/>
    <w:unhideWhenUsed/>
    <w:rsid w:val="00B10F1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0F1C"/>
  </w:style>
  <w:style w:type="paragraph" w:styleId="Fuzeile">
    <w:name w:val="footer"/>
    <w:basedOn w:val="Standard"/>
    <w:link w:val="FuzeileZchn"/>
    <w:uiPriority w:val="99"/>
    <w:unhideWhenUsed/>
    <w:rsid w:val="00B10F1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10F1C"/>
  </w:style>
  <w:style w:type="paragraph" w:styleId="Sprechblasentext">
    <w:name w:val="Balloon Text"/>
    <w:basedOn w:val="Standard"/>
    <w:link w:val="SprechblasentextZchn"/>
    <w:uiPriority w:val="99"/>
    <w:semiHidden/>
    <w:unhideWhenUsed/>
    <w:rsid w:val="008F342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3429"/>
    <w:rPr>
      <w:rFonts w:ascii="Tahoma" w:hAnsi="Tahoma" w:cs="Tahoma"/>
      <w:sz w:val="16"/>
      <w:szCs w:val="16"/>
    </w:rPr>
  </w:style>
  <w:style w:type="table" w:styleId="Tabellenraster">
    <w:name w:val="Table Grid"/>
    <w:basedOn w:val="NormaleTabelle"/>
    <w:uiPriority w:val="59"/>
    <w:rsid w:val="00027DBE"/>
    <w:pPr>
      <w:spacing w:after="0" w:line="240"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5528D5"/>
    <w:rPr>
      <w:rFonts w:asciiTheme="majorHAnsi" w:eastAsia="Times New Roman" w:hAnsiTheme="majorHAnsi" w:cs="Arial"/>
      <w:b/>
      <w:bCs/>
      <w:kern w:val="32"/>
      <w:sz w:val="36"/>
      <w:szCs w:val="32"/>
      <w:lang w:eastAsia="de-DE"/>
    </w:rPr>
  </w:style>
  <w:style w:type="character" w:customStyle="1" w:styleId="berschrift2Zchn">
    <w:name w:val="Überschrift 2 Zchn"/>
    <w:basedOn w:val="Absatz-Standardschriftart"/>
    <w:link w:val="berschrift2"/>
    <w:rsid w:val="005528D5"/>
    <w:rPr>
      <w:rFonts w:asciiTheme="majorHAnsi" w:eastAsia="Times New Roman" w:hAnsiTheme="majorHAnsi" w:cs="Arial"/>
      <w:b/>
      <w:iCs/>
      <w:kern w:val="32"/>
      <w:sz w:val="28"/>
      <w:szCs w:val="28"/>
      <w:lang w:eastAsia="de-DE"/>
    </w:rPr>
  </w:style>
  <w:style w:type="character" w:customStyle="1" w:styleId="berschrift3Zchn">
    <w:name w:val="Überschrift 3 Zchn"/>
    <w:basedOn w:val="Absatz-Standardschriftart"/>
    <w:link w:val="berschrift3"/>
    <w:rsid w:val="00B44A5B"/>
    <w:rPr>
      <w:rFonts w:eastAsia="Times New Roman" w:cs="Arial"/>
      <w:b/>
      <w:kern w:val="32"/>
      <w:sz w:val="24"/>
      <w:szCs w:val="26"/>
      <w:lang w:eastAsia="de-DE"/>
    </w:rPr>
  </w:style>
  <w:style w:type="character" w:customStyle="1" w:styleId="berschrift4Zchn">
    <w:name w:val="Überschrift 4 Zchn"/>
    <w:basedOn w:val="Absatz-Standardschriftart"/>
    <w:link w:val="berschrift4"/>
    <w:rsid w:val="00C856AD"/>
    <w:rPr>
      <w:rFonts w:ascii="Verdana" w:eastAsia="Times New Roman" w:hAnsi="Verdana" w:cs="Arial"/>
      <w:b/>
      <w:kern w:val="32"/>
      <w:sz w:val="20"/>
      <w:szCs w:val="28"/>
      <w:lang w:eastAsia="de-DE"/>
    </w:rPr>
  </w:style>
  <w:style w:type="character" w:customStyle="1" w:styleId="berschrift5Zchn">
    <w:name w:val="Überschrift 5 Zchn"/>
    <w:basedOn w:val="Absatz-Standardschriftart"/>
    <w:link w:val="berschrift5"/>
    <w:rsid w:val="00C856AD"/>
    <w:rPr>
      <w:rFonts w:ascii="Verdana" w:eastAsia="Times New Roman" w:hAnsi="Verdana" w:cs="Arial"/>
      <w:b/>
      <w:iCs/>
      <w:kern w:val="32"/>
      <w:sz w:val="20"/>
      <w:szCs w:val="26"/>
      <w:lang w:eastAsia="de-DE"/>
    </w:rPr>
  </w:style>
  <w:style w:type="character" w:customStyle="1" w:styleId="berschrift6Zchn">
    <w:name w:val="Überschrift 6 Zchn"/>
    <w:basedOn w:val="Absatz-Standardschriftart"/>
    <w:link w:val="berschrift6"/>
    <w:rsid w:val="00C856AD"/>
    <w:rPr>
      <w:rFonts w:ascii="Verdana" w:eastAsia="Times New Roman" w:hAnsi="Verdana" w:cs="Arial"/>
      <w:b/>
      <w:kern w:val="32"/>
      <w:sz w:val="20"/>
      <w:lang w:eastAsia="de-DE"/>
    </w:rPr>
  </w:style>
  <w:style w:type="character" w:customStyle="1" w:styleId="berschrift7Zchn">
    <w:name w:val="Überschrift 7 Zchn"/>
    <w:basedOn w:val="Absatz-Standardschriftart"/>
    <w:link w:val="berschrift7"/>
    <w:rsid w:val="00C856AD"/>
    <w:rPr>
      <w:rFonts w:ascii="Verdana" w:eastAsia="Times New Roman" w:hAnsi="Verdana" w:cs="Arial"/>
      <w:b/>
      <w:bCs/>
      <w:kern w:val="32"/>
      <w:sz w:val="20"/>
      <w:szCs w:val="32"/>
      <w:lang w:eastAsia="de-DE"/>
    </w:rPr>
  </w:style>
  <w:style w:type="character" w:customStyle="1" w:styleId="berschrift8Zchn">
    <w:name w:val="Überschrift 8 Zchn"/>
    <w:basedOn w:val="Absatz-Standardschriftart"/>
    <w:link w:val="berschrift8"/>
    <w:rsid w:val="00C856AD"/>
    <w:rPr>
      <w:rFonts w:ascii="Verdana" w:eastAsia="Times New Roman" w:hAnsi="Verdana" w:cs="Arial"/>
      <w:b/>
      <w:bCs/>
      <w:iCs/>
      <w:kern w:val="32"/>
      <w:sz w:val="20"/>
      <w:szCs w:val="32"/>
      <w:lang w:eastAsia="de-DE"/>
    </w:rPr>
  </w:style>
  <w:style w:type="character" w:customStyle="1" w:styleId="berschrift9Zchn">
    <w:name w:val="Überschrift 9 Zchn"/>
    <w:basedOn w:val="Absatz-Standardschriftart"/>
    <w:link w:val="berschrift9"/>
    <w:rsid w:val="00C856AD"/>
    <w:rPr>
      <w:rFonts w:ascii="Verdana" w:eastAsia="Times New Roman" w:hAnsi="Verdana" w:cs="Arial"/>
      <w:b/>
      <w:bCs/>
      <w:kern w:val="32"/>
      <w:sz w:val="20"/>
      <w:lang w:eastAsia="de-DE"/>
    </w:rPr>
  </w:style>
  <w:style w:type="paragraph" w:styleId="Inhaltsverzeichnisberschrift">
    <w:name w:val="TOC Heading"/>
    <w:basedOn w:val="berschrift1"/>
    <w:next w:val="Standard"/>
    <w:uiPriority w:val="39"/>
    <w:unhideWhenUsed/>
    <w:qFormat/>
    <w:rsid w:val="009A38BB"/>
    <w:pPr>
      <w:numPr>
        <w:numId w:val="0"/>
      </w:numPr>
      <w:tabs>
        <w:tab w:val="clear" w:pos="4139"/>
      </w:tabs>
      <w:spacing w:before="240" w:after="0" w:line="259" w:lineRule="auto"/>
      <w:outlineLvl w:val="9"/>
    </w:pPr>
    <w:rPr>
      <w:rFonts w:eastAsiaTheme="majorEastAsia" w:cstheme="majorBidi"/>
      <w:b w:val="0"/>
      <w:bCs w:val="0"/>
      <w:color w:val="365F91" w:themeColor="accent1" w:themeShade="BF"/>
      <w:kern w:val="0"/>
      <w:lang w:eastAsia="de-CH"/>
    </w:rPr>
  </w:style>
  <w:style w:type="paragraph" w:styleId="Verzeichnis1">
    <w:name w:val="toc 1"/>
    <w:basedOn w:val="Standard"/>
    <w:next w:val="Standard"/>
    <w:autoRedefine/>
    <w:uiPriority w:val="39"/>
    <w:unhideWhenUsed/>
    <w:rsid w:val="009A38BB"/>
    <w:pPr>
      <w:spacing w:after="100"/>
    </w:pPr>
  </w:style>
  <w:style w:type="paragraph" w:styleId="Verzeichnis2">
    <w:name w:val="toc 2"/>
    <w:basedOn w:val="Standard"/>
    <w:next w:val="Standard"/>
    <w:autoRedefine/>
    <w:uiPriority w:val="39"/>
    <w:unhideWhenUsed/>
    <w:rsid w:val="009A38BB"/>
    <w:pPr>
      <w:spacing w:after="100"/>
      <w:ind w:left="220"/>
    </w:pPr>
  </w:style>
  <w:style w:type="character" w:styleId="Hyperlink">
    <w:name w:val="Hyperlink"/>
    <w:basedOn w:val="Absatz-Standardschriftart"/>
    <w:uiPriority w:val="99"/>
    <w:unhideWhenUsed/>
    <w:rsid w:val="009A38BB"/>
    <w:rPr>
      <w:color w:val="0000FF" w:themeColor="hyperlink"/>
      <w:u w:val="single"/>
    </w:rPr>
  </w:style>
  <w:style w:type="character" w:customStyle="1" w:styleId="NichtaufgelsteErwhnung1">
    <w:name w:val="Nicht aufgelöste Erwähnung1"/>
    <w:basedOn w:val="Absatz-Standardschriftart"/>
    <w:uiPriority w:val="99"/>
    <w:semiHidden/>
    <w:unhideWhenUsed/>
    <w:rsid w:val="005528D5"/>
    <w:rPr>
      <w:color w:val="605E5C"/>
      <w:shd w:val="clear" w:color="auto" w:fill="E1DFDD"/>
    </w:rPr>
  </w:style>
  <w:style w:type="paragraph" w:customStyle="1" w:styleId="Default">
    <w:name w:val="Default"/>
    <w:rsid w:val="002C661F"/>
    <w:pPr>
      <w:autoSpaceDE w:val="0"/>
      <w:autoSpaceDN w:val="0"/>
      <w:adjustRightInd w:val="0"/>
      <w:spacing w:after="0" w:line="240" w:lineRule="auto"/>
    </w:pPr>
    <w:rPr>
      <w:rFonts w:ascii="Times New Roman" w:hAnsi="Times New Roman" w:cs="Times New Roman"/>
      <w:color w:val="000000"/>
      <w:sz w:val="24"/>
      <w:szCs w:val="24"/>
    </w:rPr>
  </w:style>
  <w:style w:type="character" w:styleId="Kommentarzeichen">
    <w:name w:val="annotation reference"/>
    <w:basedOn w:val="Absatz-Standardschriftart"/>
    <w:uiPriority w:val="99"/>
    <w:semiHidden/>
    <w:unhideWhenUsed/>
    <w:rsid w:val="002C2153"/>
    <w:rPr>
      <w:sz w:val="16"/>
      <w:szCs w:val="16"/>
    </w:rPr>
  </w:style>
  <w:style w:type="paragraph" w:styleId="Kommentartext">
    <w:name w:val="annotation text"/>
    <w:basedOn w:val="Standard"/>
    <w:link w:val="KommentartextZchn"/>
    <w:uiPriority w:val="99"/>
    <w:semiHidden/>
    <w:unhideWhenUsed/>
    <w:rsid w:val="002C215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C2153"/>
    <w:rPr>
      <w:sz w:val="20"/>
      <w:szCs w:val="20"/>
    </w:rPr>
  </w:style>
  <w:style w:type="paragraph" w:styleId="Kommentarthema">
    <w:name w:val="annotation subject"/>
    <w:basedOn w:val="Kommentartext"/>
    <w:next w:val="Kommentartext"/>
    <w:link w:val="KommentarthemaZchn"/>
    <w:uiPriority w:val="99"/>
    <w:semiHidden/>
    <w:unhideWhenUsed/>
    <w:rsid w:val="002C2153"/>
    <w:rPr>
      <w:b/>
      <w:bCs/>
    </w:rPr>
  </w:style>
  <w:style w:type="character" w:customStyle="1" w:styleId="KommentarthemaZchn">
    <w:name w:val="Kommentarthema Zchn"/>
    <w:basedOn w:val="KommentartextZchn"/>
    <w:link w:val="Kommentarthema"/>
    <w:uiPriority w:val="99"/>
    <w:semiHidden/>
    <w:rsid w:val="002C21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05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25903725D3A434491FFC482F4D0946E" ma:contentTypeVersion="11" ma:contentTypeDescription="Ein neues Dokument erstellen." ma:contentTypeScope="" ma:versionID="de422e2a686814834b7de70f1b8e2139">
  <xsd:schema xmlns:xsd="http://www.w3.org/2001/XMLSchema" xmlns:xs="http://www.w3.org/2001/XMLSchema" xmlns:p="http://schemas.microsoft.com/office/2006/metadata/properties" xmlns:ns2="1cc2a6a2-3332-4aa4-8045-ad745578d1ee" xmlns:ns3="2994cc9d-d6cc-4d80-95f4-e6ebe69b3302" targetNamespace="http://schemas.microsoft.com/office/2006/metadata/properties" ma:root="true" ma:fieldsID="2b5e737153a8c52cf63e9decd951656e" ns2:_="" ns3:_="">
    <xsd:import namespace="1cc2a6a2-3332-4aa4-8045-ad745578d1ee"/>
    <xsd:import namespace="2994cc9d-d6cc-4d80-95f4-e6ebe69b330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c2a6a2-3332-4aa4-8045-ad745578d1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3b829669-ff1e-49a8-8851-f0694c06a30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94cc9d-d6cc-4d80-95f4-e6ebe69b330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10b4e4f-355a-40a2-ba28-29388c1ddace}" ma:internalName="TaxCatchAll" ma:showField="CatchAllData" ma:web="2994cc9d-d6cc-4d80-95f4-e6ebe69b33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cc2a6a2-3332-4aa4-8045-ad745578d1ee">
      <Terms xmlns="http://schemas.microsoft.com/office/infopath/2007/PartnerControls"/>
    </lcf76f155ced4ddcb4097134ff3c332f>
    <TaxCatchAll xmlns="2994cc9d-d6cc-4d80-95f4-e6ebe69b3302" xsi:nil="true"/>
  </documentManagement>
</p:properties>
</file>

<file path=customXml/itemProps1.xml><?xml version="1.0" encoding="utf-8"?>
<ds:datastoreItem xmlns:ds="http://schemas.openxmlformats.org/officeDocument/2006/customXml" ds:itemID="{9513C12C-C29D-4AFF-B10D-40DE7E0E2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c2a6a2-3332-4aa4-8045-ad745578d1ee"/>
    <ds:schemaRef ds:uri="2994cc9d-d6cc-4d80-95f4-e6ebe69b3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674BD8-5DFC-4ADA-BA4B-05408EF43DD7}">
  <ds:schemaRefs>
    <ds:schemaRef ds:uri="http://schemas.openxmlformats.org/officeDocument/2006/bibliography"/>
  </ds:schemaRefs>
</ds:datastoreItem>
</file>

<file path=customXml/itemProps3.xml><?xml version="1.0" encoding="utf-8"?>
<ds:datastoreItem xmlns:ds="http://schemas.openxmlformats.org/officeDocument/2006/customXml" ds:itemID="{3A9D0DE5-AFEF-4584-B15A-3FEBF61BE79A}">
  <ds:schemaRefs>
    <ds:schemaRef ds:uri="http://schemas.microsoft.com/sharepoint/v3/contenttype/forms"/>
  </ds:schemaRefs>
</ds:datastoreItem>
</file>

<file path=customXml/itemProps4.xml><?xml version="1.0" encoding="utf-8"?>
<ds:datastoreItem xmlns:ds="http://schemas.openxmlformats.org/officeDocument/2006/customXml" ds:itemID="{BB0291E3-23CD-4ADD-A442-E62C11AD22A8}">
  <ds:schemaRefs>
    <ds:schemaRef ds:uri="http://schemas.microsoft.com/office/2006/metadata/properties"/>
    <ds:schemaRef ds:uri="http://schemas.microsoft.com/office/infopath/2007/PartnerControls"/>
    <ds:schemaRef ds:uri="1cc2a6a2-3332-4aa4-8045-ad745578d1ee"/>
    <ds:schemaRef ds:uri="2994cc9d-d6cc-4d80-95f4-e6ebe69b330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3738</Words>
  <Characters>23553</Characters>
  <Application>Microsoft Office Word</Application>
  <DocSecurity>0</DocSecurity>
  <Lines>196</Lines>
  <Paragraphs>54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Cédric Ohlmeyer</dc:creator>
  <cp:lastModifiedBy>Cédric Ohlmeyer</cp:lastModifiedBy>
  <cp:revision>5</cp:revision>
  <cp:lastPrinted>2024-02-09T16:21:00Z</cp:lastPrinted>
  <dcterms:created xsi:type="dcterms:W3CDTF">2024-02-09T15:42:00Z</dcterms:created>
  <dcterms:modified xsi:type="dcterms:W3CDTF">2024-02-09T16:21:00Z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0x010100825903725D3A434491FFC482F4D0946E</vt:lpwstr>
  </property>
  <property fmtid="{D5CDD505-2E9C-101B-9397-08002B2CF9AE}" pid="3" name="MediaServiceImageTags">
    <vt:lpwstr/>
  </property>
</Properties>
</file>